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E916EC">
        <w:rPr>
          <w:b/>
          <w:sz w:val="22"/>
          <w:szCs w:val="22"/>
        </w:rPr>
        <w:t>12</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9191D" w:rsidRDefault="00A44483" w:rsidP="00A44483">
      <w:pPr>
        <w:contextualSpacing/>
        <w:rPr>
          <w:b/>
          <w:color w:val="000000" w:themeColor="text1"/>
          <w:sz w:val="21"/>
          <w:szCs w:val="21"/>
        </w:rPr>
      </w:pPr>
      <w:r w:rsidRPr="004D08F6">
        <w:rPr>
          <w:b/>
          <w:color w:val="000000" w:themeColor="text1"/>
          <w:sz w:val="21"/>
          <w:szCs w:val="21"/>
        </w:rPr>
        <w:t xml:space="preserve">                                                                    </w:t>
      </w:r>
      <w:r w:rsidRPr="0039191D">
        <w:rPr>
          <w:b/>
          <w:color w:val="000000" w:themeColor="text1"/>
          <w:sz w:val="21"/>
          <w:szCs w:val="21"/>
        </w:rPr>
        <w:t xml:space="preserve">Закупка № </w:t>
      </w:r>
      <w:r w:rsidR="00BD74DA" w:rsidRPr="0039191D">
        <w:rPr>
          <w:b/>
          <w:sz w:val="22"/>
          <w:szCs w:val="22"/>
        </w:rPr>
        <w:t>202</w:t>
      </w:r>
      <w:r w:rsidR="00CC1057" w:rsidRPr="0039191D">
        <w:rPr>
          <w:b/>
          <w:sz w:val="22"/>
          <w:szCs w:val="22"/>
        </w:rPr>
        <w:t>1</w:t>
      </w:r>
      <w:r w:rsidR="0039191D" w:rsidRPr="0039191D">
        <w:rPr>
          <w:b/>
          <w:sz w:val="22"/>
          <w:szCs w:val="22"/>
        </w:rPr>
        <w:t>24</w:t>
      </w:r>
      <w:r w:rsidR="00BD74DA" w:rsidRPr="0039191D">
        <w:rPr>
          <w:b/>
          <w:sz w:val="22"/>
          <w:szCs w:val="22"/>
        </w:rPr>
        <w:t>09081</w:t>
      </w:r>
    </w:p>
    <w:p w:rsidR="00BD74DA" w:rsidRDefault="002B62CE" w:rsidP="00BD74DA">
      <w:pPr>
        <w:contextualSpacing/>
        <w:jc w:val="center"/>
        <w:rPr>
          <w:b/>
          <w:sz w:val="22"/>
          <w:szCs w:val="22"/>
        </w:rPr>
      </w:pPr>
      <w:r w:rsidRPr="0039191D">
        <w:rPr>
          <w:b/>
          <w:sz w:val="22"/>
          <w:szCs w:val="22"/>
        </w:rPr>
        <w:t xml:space="preserve">на поставку </w:t>
      </w:r>
      <w:r w:rsidR="00E916EC" w:rsidRPr="0039191D">
        <w:rPr>
          <w:b/>
          <w:sz w:val="22"/>
          <w:szCs w:val="22"/>
        </w:rPr>
        <w:t>реактивов для бесперебойной работы лаборатории</w:t>
      </w:r>
      <w:bookmarkStart w:id="0" w:name="_GoBack"/>
      <w:bookmarkEnd w:id="0"/>
      <w:r w:rsidR="00E916EC">
        <w:rPr>
          <w:b/>
          <w:sz w:val="22"/>
          <w:szCs w:val="22"/>
        </w:rPr>
        <w:t xml:space="preserve"> больницы</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E916EC" w:rsidRPr="00E916EC">
        <w:rPr>
          <w:sz w:val="22"/>
          <w:szCs w:val="22"/>
        </w:rPr>
        <w:t>реактивов для бесперебойной работы лаборатории больницы</w:t>
      </w:r>
    </w:p>
    <w:p w:rsidR="00E916EC" w:rsidRPr="000B14D2" w:rsidRDefault="00E916EC" w:rsidP="000B14D2">
      <w:pPr>
        <w:ind w:firstLine="0"/>
        <w:contextualSpacing/>
        <w:rPr>
          <w:snapToGrid w:val="0"/>
          <w:color w:val="000000"/>
          <w:sz w:val="20"/>
        </w:rPr>
      </w:pPr>
    </w:p>
    <w:tbl>
      <w:tblPr>
        <w:tblW w:w="544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1934"/>
        <w:gridCol w:w="6384"/>
        <w:gridCol w:w="1304"/>
        <w:gridCol w:w="869"/>
      </w:tblGrid>
      <w:tr w:rsidR="00E916EC" w:rsidRPr="00A53A63" w:rsidTr="00E916EC">
        <w:trPr>
          <w:trHeight w:val="362"/>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spacing w:before="300" w:after="300" w:line="200" w:lineRule="atLeast"/>
              <w:ind w:firstLine="0"/>
              <w:jc w:val="center"/>
              <w:rPr>
                <w:b/>
                <w:sz w:val="20"/>
              </w:rPr>
            </w:pPr>
            <w:r w:rsidRPr="00A53A63">
              <w:rPr>
                <w:b/>
                <w:sz w:val="20"/>
              </w:rPr>
              <w:t>№ п/п</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916EC" w:rsidRPr="00A53A63" w:rsidRDefault="00E916EC" w:rsidP="00E916EC">
            <w:pPr>
              <w:spacing w:before="300" w:after="300"/>
              <w:ind w:firstLine="0"/>
              <w:rPr>
                <w:b/>
                <w:sz w:val="20"/>
              </w:rPr>
            </w:pPr>
            <w:r w:rsidRPr="00A53A63">
              <w:rPr>
                <w:b/>
                <w:sz w:val="20"/>
              </w:rPr>
              <w:t>Наименование товара</w:t>
            </w:r>
          </w:p>
        </w:tc>
        <w:tc>
          <w:tcPr>
            <w:tcW w:w="6384" w:type="dxa"/>
            <w:tcBorders>
              <w:top w:val="single" w:sz="6" w:space="0" w:color="000000"/>
              <w:left w:val="single" w:sz="6" w:space="0" w:color="000000"/>
              <w:bottom w:val="single" w:sz="6" w:space="0" w:color="000000"/>
              <w:right w:val="single" w:sz="6" w:space="0" w:color="000000"/>
            </w:tcBorders>
          </w:tcPr>
          <w:p w:rsidR="00E916EC" w:rsidRPr="00A53A63" w:rsidRDefault="00E916EC" w:rsidP="00E916EC">
            <w:pPr>
              <w:spacing w:before="300" w:after="300" w:line="200" w:lineRule="atLeast"/>
              <w:rPr>
                <w:b/>
                <w:sz w:val="20"/>
              </w:rPr>
            </w:pPr>
            <w:r w:rsidRPr="00A53A63">
              <w:rPr>
                <w:b/>
                <w:color w:val="000000" w:themeColor="text1"/>
                <w:sz w:val="20"/>
              </w:rPr>
              <w:t>Технические характеристики товара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916EC" w:rsidRPr="00A53A63" w:rsidRDefault="00E916EC" w:rsidP="00E916EC">
            <w:pPr>
              <w:spacing w:before="300" w:after="300" w:line="200" w:lineRule="atLeast"/>
              <w:ind w:firstLine="0"/>
              <w:jc w:val="center"/>
              <w:rPr>
                <w:b/>
                <w:sz w:val="20"/>
              </w:rPr>
            </w:pPr>
            <w:r w:rsidRPr="00A53A63">
              <w:rPr>
                <w:b/>
                <w:sz w:val="20"/>
              </w:rPr>
              <w:t>Ед. изм.</w:t>
            </w:r>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spacing w:before="300" w:after="300" w:line="200" w:lineRule="atLeast"/>
              <w:ind w:firstLine="0"/>
              <w:jc w:val="center"/>
              <w:rPr>
                <w:b/>
                <w:sz w:val="20"/>
              </w:rPr>
            </w:pPr>
            <w:r w:rsidRPr="00A53A63">
              <w:rPr>
                <w:b/>
                <w:sz w:val="20"/>
              </w:rPr>
              <w:t>Кол-во</w:t>
            </w:r>
          </w:p>
        </w:tc>
      </w:tr>
      <w:tr w:rsidR="00E916EC" w:rsidRPr="00A53A63" w:rsidTr="00E916EC">
        <w:trPr>
          <w:trHeight w:val="2653"/>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spacing w:before="300" w:after="300" w:line="200" w:lineRule="atLeast"/>
              <w:ind w:firstLine="0"/>
              <w:jc w:val="center"/>
              <w:rPr>
                <w:sz w:val="20"/>
              </w:rPr>
            </w:pPr>
            <w:r w:rsidRPr="00A53A63">
              <w:rPr>
                <w:sz w:val="20"/>
              </w:rPr>
              <w:t>1</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916EC" w:rsidRPr="00A53A63" w:rsidRDefault="00E916EC" w:rsidP="00E916EC">
            <w:pPr>
              <w:ind w:firstLine="0"/>
              <w:contextualSpacing/>
              <w:rPr>
                <w:sz w:val="20"/>
              </w:rPr>
            </w:pPr>
            <w:r>
              <w:rPr>
                <w:sz w:val="20"/>
              </w:rPr>
              <w:t>Индикаторные полоски (кетоны)</w:t>
            </w:r>
          </w:p>
        </w:tc>
        <w:tc>
          <w:tcPr>
            <w:tcW w:w="6384" w:type="dxa"/>
            <w:tcBorders>
              <w:top w:val="single" w:sz="6" w:space="0" w:color="000000"/>
              <w:left w:val="single" w:sz="6" w:space="0" w:color="000000"/>
              <w:bottom w:val="single" w:sz="6" w:space="0" w:color="000000"/>
              <w:right w:val="single" w:sz="6" w:space="0" w:color="000000"/>
            </w:tcBorders>
          </w:tcPr>
          <w:p w:rsidR="00E916EC" w:rsidRDefault="00E916EC" w:rsidP="00E916EC">
            <w:pPr>
              <w:spacing w:after="200" w:line="276" w:lineRule="auto"/>
              <w:ind w:firstLine="0"/>
              <w:rPr>
                <w:color w:val="000000"/>
                <w:sz w:val="16"/>
                <w:szCs w:val="16"/>
                <w:shd w:val="clear" w:color="auto" w:fill="FFFFFF"/>
              </w:rPr>
            </w:pPr>
            <w:r>
              <w:rPr>
                <w:color w:val="000000"/>
                <w:sz w:val="16"/>
                <w:szCs w:val="16"/>
                <w:shd w:val="clear" w:color="auto" w:fill="FFFFFF"/>
              </w:rPr>
              <w:t>П</w:t>
            </w:r>
            <w:r w:rsidRPr="00CE031C">
              <w:rPr>
                <w:color w:val="000000"/>
                <w:sz w:val="16"/>
                <w:szCs w:val="16"/>
                <w:shd w:val="clear" w:color="auto" w:fill="FFFFFF"/>
              </w:rPr>
              <w:t>редназначены для экспресс-анализа содержания кетонов в моче человека. </w:t>
            </w:r>
            <w:r w:rsidRPr="00CE031C">
              <w:rPr>
                <w:color w:val="000000"/>
                <w:sz w:val="16"/>
                <w:szCs w:val="16"/>
              </w:rPr>
              <w:br/>
            </w:r>
            <w:r w:rsidRPr="00CE031C">
              <w:rPr>
                <w:color w:val="000000"/>
                <w:sz w:val="16"/>
                <w:szCs w:val="16"/>
              </w:rPr>
              <w:br/>
            </w:r>
            <w:r w:rsidRPr="00CE031C">
              <w:rPr>
                <w:color w:val="000000"/>
                <w:sz w:val="16"/>
                <w:szCs w:val="16"/>
                <w:shd w:val="clear" w:color="auto" w:fill="FFFFFF"/>
              </w:rPr>
              <w:t>Диапазон определяемых концентраций кетонов (в виде ацетоуксусной кислоты) в моче составляет 0,5 — 10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(5 — 100 мг/100 мл). </w:t>
            </w:r>
          </w:p>
          <w:p w:rsidR="00E916E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Цветовая шкала для определения кетонов содержит пять цветовых полей, соответствующих концентрациям ацетоуксусной кислоты 0; 0,5; 1; 4 и 10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(соответственно 0; 5; 10; 40 и 100 мг/100 мл). </w:t>
            </w:r>
          </w:p>
          <w:p w:rsidR="00E916E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Чувствительность определения кетонов составляет 0,5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(5 мг/100 мл). </w:t>
            </w:r>
          </w:p>
          <w:p w:rsidR="00E916EC" w:rsidRPr="00CE031C" w:rsidRDefault="00E916EC" w:rsidP="00E916EC">
            <w:pPr>
              <w:spacing w:after="200" w:line="276" w:lineRule="auto"/>
              <w:ind w:firstLine="0"/>
              <w:rPr>
                <w:color w:val="000000"/>
                <w:sz w:val="16"/>
                <w:szCs w:val="16"/>
              </w:rPr>
            </w:pPr>
            <w:r w:rsidRPr="00CE031C">
              <w:rPr>
                <w:color w:val="000000"/>
                <w:sz w:val="16"/>
                <w:szCs w:val="16"/>
                <w:shd w:val="clear" w:color="auto" w:fill="FFFFFF"/>
              </w:rPr>
              <w:t>Время анализа составляет 2 минуты.</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916EC" w:rsidRPr="00A53A63" w:rsidRDefault="00E916EC" w:rsidP="00E916EC">
            <w:pPr>
              <w:ind w:firstLine="0"/>
              <w:contextualSpacing/>
              <w:jc w:val="center"/>
              <w:rPr>
                <w:sz w:val="20"/>
              </w:rPr>
            </w:pPr>
            <w:proofErr w:type="spellStart"/>
            <w:r>
              <w:rPr>
                <w:sz w:val="20"/>
              </w:rPr>
              <w:t>упак</w:t>
            </w:r>
            <w:proofErr w:type="spellEnd"/>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ind w:firstLine="0"/>
              <w:contextualSpacing/>
              <w:jc w:val="center"/>
              <w:rPr>
                <w:sz w:val="20"/>
              </w:rPr>
            </w:pPr>
            <w:r>
              <w:rPr>
                <w:sz w:val="20"/>
              </w:rPr>
              <w:t>30</w:t>
            </w:r>
          </w:p>
        </w:tc>
      </w:tr>
      <w:tr w:rsidR="00E916EC" w:rsidRPr="00A53A63" w:rsidTr="00E916EC">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spacing w:before="300" w:after="300" w:line="200" w:lineRule="atLeast"/>
              <w:ind w:firstLine="0"/>
              <w:jc w:val="center"/>
              <w:rPr>
                <w:sz w:val="20"/>
              </w:rPr>
            </w:pPr>
            <w:r w:rsidRPr="00A53A63">
              <w:rPr>
                <w:sz w:val="20"/>
              </w:rPr>
              <w:t>2</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916EC" w:rsidRPr="00A53A63" w:rsidRDefault="00E916EC" w:rsidP="00E916EC">
            <w:pPr>
              <w:ind w:firstLine="0"/>
              <w:contextualSpacing/>
              <w:rPr>
                <w:sz w:val="20"/>
              </w:rPr>
            </w:pPr>
            <w:r>
              <w:rPr>
                <w:sz w:val="20"/>
              </w:rPr>
              <w:t>Индикаторные полоски (глюкоза)</w:t>
            </w:r>
          </w:p>
        </w:tc>
        <w:tc>
          <w:tcPr>
            <w:tcW w:w="6384" w:type="dxa"/>
            <w:tcBorders>
              <w:top w:val="single" w:sz="6" w:space="0" w:color="000000"/>
              <w:left w:val="single" w:sz="6" w:space="0" w:color="000000"/>
              <w:bottom w:val="single" w:sz="6" w:space="0" w:color="000000"/>
              <w:right w:val="single" w:sz="6" w:space="0" w:color="000000"/>
            </w:tcBorders>
          </w:tcPr>
          <w:p w:rsidR="00E916EC" w:rsidRDefault="00E916EC" w:rsidP="00E916EC">
            <w:pPr>
              <w:spacing w:after="200" w:line="276" w:lineRule="auto"/>
              <w:ind w:firstLine="0"/>
              <w:rPr>
                <w:color w:val="000000"/>
                <w:sz w:val="16"/>
                <w:szCs w:val="16"/>
                <w:shd w:val="clear" w:color="auto" w:fill="FFFFFF"/>
              </w:rPr>
            </w:pPr>
            <w:r>
              <w:rPr>
                <w:color w:val="000000"/>
                <w:sz w:val="16"/>
                <w:szCs w:val="16"/>
                <w:shd w:val="clear" w:color="auto" w:fill="FFFFFF"/>
              </w:rPr>
              <w:t>П</w:t>
            </w:r>
            <w:r w:rsidRPr="00CE031C">
              <w:rPr>
                <w:color w:val="000000"/>
                <w:sz w:val="16"/>
                <w:szCs w:val="16"/>
                <w:shd w:val="clear" w:color="auto" w:fill="FFFFFF"/>
              </w:rPr>
              <w:t>редназначены для экспресс-анализа содержания глюкозы в моче человека. </w:t>
            </w:r>
            <w:r w:rsidRPr="00CE031C">
              <w:rPr>
                <w:color w:val="000000"/>
                <w:sz w:val="16"/>
                <w:szCs w:val="16"/>
              </w:rPr>
              <w:br/>
            </w:r>
            <w:r w:rsidRPr="00CE031C">
              <w:rPr>
                <w:color w:val="000000"/>
                <w:sz w:val="16"/>
                <w:szCs w:val="16"/>
              </w:rPr>
              <w:br/>
            </w:r>
            <w:proofErr w:type="spellStart"/>
            <w:r>
              <w:rPr>
                <w:color w:val="000000"/>
                <w:sz w:val="16"/>
                <w:szCs w:val="16"/>
                <w:shd w:val="clear" w:color="auto" w:fill="FFFFFF"/>
              </w:rPr>
              <w:t>Диа</w:t>
            </w:r>
            <w:r w:rsidRPr="00CE031C">
              <w:rPr>
                <w:color w:val="000000"/>
                <w:sz w:val="16"/>
                <w:szCs w:val="16"/>
                <w:shd w:val="clear" w:color="auto" w:fill="FFFFFF"/>
              </w:rPr>
              <w:t>азон</w:t>
            </w:r>
            <w:proofErr w:type="spellEnd"/>
            <w:r w:rsidRPr="00CE031C">
              <w:rPr>
                <w:color w:val="000000"/>
                <w:sz w:val="16"/>
                <w:szCs w:val="16"/>
                <w:shd w:val="clear" w:color="auto" w:fill="FFFFFF"/>
              </w:rPr>
              <w:t xml:space="preserve"> определяемых концентраций глюкозы в моче составляет 0,05 — 1,0%. </w:t>
            </w:r>
          </w:p>
          <w:p w:rsidR="00E916EC" w:rsidRDefault="00E916EC" w:rsidP="002A6B6A">
            <w:pPr>
              <w:spacing w:after="200" w:line="276" w:lineRule="auto"/>
              <w:rPr>
                <w:color w:val="000000"/>
                <w:sz w:val="16"/>
                <w:szCs w:val="16"/>
                <w:shd w:val="clear" w:color="auto" w:fill="FFFFFF"/>
              </w:rPr>
            </w:pPr>
            <w:r w:rsidRPr="00CE031C">
              <w:rPr>
                <w:color w:val="000000"/>
                <w:sz w:val="16"/>
                <w:szCs w:val="16"/>
                <w:shd w:val="clear" w:color="auto" w:fill="FFFFFF"/>
              </w:rPr>
              <w:t xml:space="preserve">Цветовая шкала на этикетке содержит пять цветовых полей, соответствующих концентрациям глюкозы 0; 0,05; 0,1; 0,3 и 1,0 %. </w:t>
            </w:r>
          </w:p>
          <w:p w:rsidR="00E916E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Чувствительность определения глюкозы составляет 0,05% (что соответствует содержанию глюкозы 50 мг/100мл, 0,5 г/л или 2,8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w:t>
            </w:r>
          </w:p>
          <w:p w:rsidR="00E916EC" w:rsidRPr="00CE031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Время анализа составляет 2 минуты. </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916EC" w:rsidRPr="00A53A63" w:rsidRDefault="00E916EC" w:rsidP="00E916EC">
            <w:pPr>
              <w:ind w:firstLine="0"/>
              <w:contextualSpacing/>
              <w:jc w:val="center"/>
              <w:rPr>
                <w:sz w:val="20"/>
              </w:rPr>
            </w:pPr>
            <w:proofErr w:type="spellStart"/>
            <w:r>
              <w:rPr>
                <w:sz w:val="20"/>
              </w:rPr>
              <w:t>упак</w:t>
            </w:r>
            <w:proofErr w:type="spellEnd"/>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ind w:firstLine="0"/>
              <w:contextualSpacing/>
              <w:jc w:val="center"/>
              <w:rPr>
                <w:sz w:val="20"/>
              </w:rPr>
            </w:pPr>
            <w:r>
              <w:rPr>
                <w:sz w:val="20"/>
              </w:rPr>
              <w:t>200</w:t>
            </w:r>
          </w:p>
        </w:tc>
      </w:tr>
      <w:tr w:rsidR="00E916EC" w:rsidRPr="00A53A63" w:rsidTr="00E916EC">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spacing w:before="300" w:after="300" w:line="200" w:lineRule="atLeast"/>
              <w:ind w:firstLine="0"/>
              <w:jc w:val="center"/>
              <w:rPr>
                <w:sz w:val="20"/>
              </w:rPr>
            </w:pPr>
            <w:r w:rsidRPr="00A53A63">
              <w:rPr>
                <w:sz w:val="20"/>
              </w:rPr>
              <w:t>3</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916EC" w:rsidRPr="00A53A63" w:rsidRDefault="00E916EC" w:rsidP="00E916EC">
            <w:pPr>
              <w:ind w:firstLine="0"/>
              <w:contextualSpacing/>
              <w:rPr>
                <w:sz w:val="20"/>
              </w:rPr>
            </w:pPr>
            <w:r>
              <w:rPr>
                <w:sz w:val="20"/>
              </w:rPr>
              <w:t>Индикаторные полоски (белок)</w:t>
            </w:r>
          </w:p>
        </w:tc>
        <w:tc>
          <w:tcPr>
            <w:tcW w:w="6384" w:type="dxa"/>
            <w:tcBorders>
              <w:top w:val="single" w:sz="6" w:space="0" w:color="000000"/>
              <w:left w:val="single" w:sz="6" w:space="0" w:color="000000"/>
              <w:bottom w:val="single" w:sz="6" w:space="0" w:color="000000"/>
              <w:right w:val="single" w:sz="6" w:space="0" w:color="000000"/>
            </w:tcBorders>
          </w:tcPr>
          <w:p w:rsidR="00E916EC" w:rsidRDefault="00E916EC" w:rsidP="00E916EC">
            <w:pPr>
              <w:spacing w:after="200" w:line="276" w:lineRule="auto"/>
              <w:ind w:firstLine="0"/>
              <w:rPr>
                <w:color w:val="000000"/>
                <w:sz w:val="16"/>
                <w:szCs w:val="16"/>
                <w:shd w:val="clear" w:color="auto" w:fill="FFFFFF"/>
              </w:rPr>
            </w:pPr>
            <w:r>
              <w:rPr>
                <w:color w:val="000000"/>
                <w:sz w:val="16"/>
                <w:szCs w:val="16"/>
                <w:shd w:val="clear" w:color="auto" w:fill="FFFFFF"/>
              </w:rPr>
              <w:t>П</w:t>
            </w:r>
            <w:r w:rsidRPr="00CE031C">
              <w:rPr>
                <w:color w:val="000000"/>
                <w:sz w:val="16"/>
                <w:szCs w:val="16"/>
                <w:shd w:val="clear" w:color="auto" w:fill="FFFFFF"/>
              </w:rPr>
              <w:t>редназначены для экспресс- анализа содержания белка (альбумина) в моче человека. </w:t>
            </w:r>
            <w:r w:rsidRPr="00CE031C">
              <w:rPr>
                <w:color w:val="000000"/>
                <w:sz w:val="16"/>
                <w:szCs w:val="16"/>
              </w:rPr>
              <w:br/>
            </w:r>
            <w:r w:rsidRPr="00CE031C">
              <w:rPr>
                <w:color w:val="000000"/>
                <w:sz w:val="16"/>
                <w:szCs w:val="16"/>
              </w:rPr>
              <w:br/>
            </w:r>
            <w:r w:rsidRPr="00CE031C">
              <w:rPr>
                <w:color w:val="000000"/>
                <w:sz w:val="16"/>
                <w:szCs w:val="16"/>
                <w:shd w:val="clear" w:color="auto" w:fill="FFFFFF"/>
              </w:rPr>
              <w:t>Диапазон определяемых концентраций белка в моче составляет 0,1 — 5 г/ л.</w:t>
            </w:r>
          </w:p>
          <w:p w:rsidR="00E916E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 Цветовая шкала для определения белка содержит пять цветовых полей, соответствующих концентрациям белка 0; 0,1; 0,3; 1 и 5 г/л. </w:t>
            </w:r>
          </w:p>
          <w:p w:rsidR="00E916E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Шкала откалибрована с использованием соответствующих контрольных растворов человеческого сывороточного альбумина. Чувствительность определения белка составляет </w:t>
            </w:r>
            <w:r w:rsidRPr="00CE031C">
              <w:rPr>
                <w:color w:val="000000"/>
                <w:sz w:val="16"/>
                <w:szCs w:val="16"/>
                <w:shd w:val="clear" w:color="auto" w:fill="FFFFFF"/>
              </w:rPr>
              <w:lastRenderedPageBreak/>
              <w:t xml:space="preserve">0,1 г/л (10 мг/100 мл). </w:t>
            </w:r>
          </w:p>
          <w:p w:rsidR="00E916EC" w:rsidRPr="00CE031C" w:rsidRDefault="00E916EC" w:rsidP="00E916EC">
            <w:pPr>
              <w:spacing w:after="200" w:line="276" w:lineRule="auto"/>
              <w:ind w:firstLine="0"/>
              <w:rPr>
                <w:color w:val="000000"/>
                <w:sz w:val="16"/>
                <w:szCs w:val="16"/>
                <w:shd w:val="clear" w:color="auto" w:fill="FFFFFF"/>
              </w:rPr>
            </w:pPr>
            <w:r w:rsidRPr="00CE031C">
              <w:rPr>
                <w:color w:val="000000"/>
                <w:sz w:val="16"/>
                <w:szCs w:val="16"/>
                <w:shd w:val="clear" w:color="auto" w:fill="FFFFFF"/>
              </w:rPr>
              <w:t>Время анализа составляет 1 минуту.</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916EC" w:rsidRPr="00A53A63" w:rsidRDefault="00E916EC" w:rsidP="00E916EC">
            <w:pPr>
              <w:ind w:firstLine="0"/>
              <w:contextualSpacing/>
              <w:jc w:val="center"/>
              <w:rPr>
                <w:sz w:val="20"/>
              </w:rPr>
            </w:pPr>
            <w:proofErr w:type="spellStart"/>
            <w:r>
              <w:rPr>
                <w:sz w:val="20"/>
              </w:rPr>
              <w:lastRenderedPageBreak/>
              <w:t>упак</w:t>
            </w:r>
            <w:proofErr w:type="spellEnd"/>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E916EC">
            <w:pPr>
              <w:ind w:firstLine="0"/>
              <w:contextualSpacing/>
              <w:jc w:val="center"/>
              <w:rPr>
                <w:sz w:val="20"/>
              </w:rPr>
            </w:pPr>
            <w:r>
              <w:rPr>
                <w:sz w:val="20"/>
              </w:rPr>
              <w:t>10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54075">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E916EC">
        <w:rPr>
          <w:b/>
          <w:sz w:val="22"/>
          <w:szCs w:val="22"/>
        </w:rPr>
        <w:t>реактивов для бесперебойной работы лаборатории больницы</w:t>
      </w:r>
      <w:r w:rsidR="00F05DC7"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615EFE">
        <w:rPr>
          <w:b/>
          <w:color w:val="000000" w:themeColor="text1"/>
          <w:sz w:val="20"/>
        </w:rPr>
        <w:t>85665</w:t>
      </w:r>
      <w:r w:rsidR="00615EFE" w:rsidRPr="00F05DC7">
        <w:rPr>
          <w:sz w:val="22"/>
          <w:szCs w:val="22"/>
        </w:rPr>
        <w:t xml:space="preserve"> </w:t>
      </w:r>
      <w:r w:rsidR="008634D3" w:rsidRPr="00F05DC7">
        <w:rPr>
          <w:sz w:val="22"/>
          <w:szCs w:val="22"/>
        </w:rPr>
        <w:t>(</w:t>
      </w:r>
      <w:r w:rsidR="00615EFE">
        <w:rPr>
          <w:b/>
          <w:sz w:val="22"/>
          <w:szCs w:val="22"/>
        </w:rPr>
        <w:t xml:space="preserve">восемьдесят пять </w:t>
      </w:r>
      <w:r w:rsidR="004D08F6" w:rsidRPr="00F05DC7">
        <w:rPr>
          <w:b/>
          <w:sz w:val="22"/>
          <w:szCs w:val="22"/>
        </w:rPr>
        <w:t xml:space="preserve">тысяч </w:t>
      </w:r>
      <w:r w:rsidR="00615EFE">
        <w:rPr>
          <w:b/>
          <w:sz w:val="22"/>
          <w:szCs w:val="22"/>
        </w:rPr>
        <w:t>шестьсот шестьдесят пять</w:t>
      </w:r>
      <w:r w:rsidR="008634D3" w:rsidRPr="00F05DC7">
        <w:rPr>
          <w:b/>
          <w:sz w:val="22"/>
          <w:szCs w:val="22"/>
        </w:rPr>
        <w:t xml:space="preserve">) </w:t>
      </w:r>
      <w:r w:rsidR="005233D9" w:rsidRPr="00F05DC7">
        <w:rPr>
          <w:b/>
          <w:sz w:val="22"/>
          <w:szCs w:val="22"/>
        </w:rPr>
        <w:t>руб</w:t>
      </w:r>
      <w:r w:rsidR="001F151C" w:rsidRPr="00F05DC7">
        <w:rPr>
          <w:b/>
          <w:sz w:val="22"/>
          <w:szCs w:val="22"/>
        </w:rPr>
        <w:t>л</w:t>
      </w:r>
      <w:r w:rsidR="00615EFE">
        <w:rPr>
          <w:b/>
          <w:sz w:val="22"/>
          <w:szCs w:val="22"/>
        </w:rPr>
        <w:t>ей</w:t>
      </w:r>
      <w:r w:rsidR="000B0B1F" w:rsidRPr="00F05DC7">
        <w:rPr>
          <w:b/>
          <w:sz w:val="22"/>
          <w:szCs w:val="22"/>
        </w:rPr>
        <w:t xml:space="preserve"> </w:t>
      </w:r>
      <w:r w:rsidR="00615EFE">
        <w:rPr>
          <w:b/>
          <w:sz w:val="22"/>
          <w:szCs w:val="22"/>
        </w:rPr>
        <w:t>90</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lastRenderedPageBreak/>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BB067F">
        <w:rPr>
          <w:b/>
          <w:sz w:val="22"/>
          <w:szCs w:val="22"/>
        </w:rPr>
        <w:t>21</w:t>
      </w:r>
      <w:r w:rsidR="001E432A">
        <w:rPr>
          <w:b/>
          <w:sz w:val="22"/>
          <w:szCs w:val="22"/>
        </w:rPr>
        <w:t>.</w:t>
      </w:r>
      <w:r w:rsidR="00954075">
        <w:rPr>
          <w:b/>
          <w:sz w:val="22"/>
          <w:szCs w:val="22"/>
        </w:rPr>
        <w:t>0</w:t>
      </w:r>
      <w:r w:rsidR="001E432A">
        <w:rPr>
          <w:b/>
          <w:sz w:val="22"/>
          <w:szCs w:val="22"/>
        </w:rPr>
        <w:t>1</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B067F">
        <w:rPr>
          <w:b/>
          <w:sz w:val="22"/>
          <w:szCs w:val="22"/>
        </w:rPr>
        <w:t>1</w:t>
      </w:r>
      <w:r w:rsidR="002B62CE" w:rsidRPr="00EC3061">
        <w:rPr>
          <w:b/>
          <w:sz w:val="22"/>
          <w:szCs w:val="22"/>
        </w:rPr>
        <w:t>:</w:t>
      </w:r>
      <w:r w:rsidR="00BB067F">
        <w:rPr>
          <w:b/>
          <w:sz w:val="22"/>
          <w:szCs w:val="22"/>
        </w:rPr>
        <w:t>3</w:t>
      </w:r>
      <w:r w:rsidR="004E4911">
        <w:rPr>
          <w:b/>
          <w:sz w:val="22"/>
          <w:szCs w:val="22"/>
        </w:rPr>
        <w:t>0</w:t>
      </w:r>
      <w:r w:rsidR="002B62CE" w:rsidRPr="00EC3061">
        <w:rPr>
          <w:b/>
          <w:sz w:val="22"/>
          <w:szCs w:val="22"/>
        </w:rPr>
        <w:t xml:space="preserve"> </w:t>
      </w:r>
      <w:r w:rsidR="00954075">
        <w:rPr>
          <w:b/>
          <w:sz w:val="22"/>
          <w:szCs w:val="22"/>
        </w:rPr>
        <w:t>2</w:t>
      </w:r>
      <w:r w:rsidR="00BB067F">
        <w:rPr>
          <w:b/>
          <w:sz w:val="22"/>
          <w:szCs w:val="22"/>
        </w:rPr>
        <w:t>6</w:t>
      </w:r>
      <w:r w:rsidR="00F21B72" w:rsidRPr="00EC3061">
        <w:rPr>
          <w:b/>
          <w:sz w:val="22"/>
          <w:szCs w:val="22"/>
        </w:rPr>
        <w:t>.</w:t>
      </w:r>
      <w:r w:rsidR="00954075">
        <w:rPr>
          <w:b/>
          <w:sz w:val="22"/>
          <w:szCs w:val="22"/>
        </w:rPr>
        <w:t>01</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B067F">
        <w:rPr>
          <w:b/>
          <w:sz w:val="22"/>
          <w:szCs w:val="22"/>
        </w:rPr>
        <w:t>2</w:t>
      </w:r>
      <w:r w:rsidR="000C52C9" w:rsidRPr="00EC3061">
        <w:rPr>
          <w:b/>
          <w:sz w:val="22"/>
          <w:szCs w:val="22"/>
        </w:rPr>
        <w:t>:</w:t>
      </w:r>
      <w:r w:rsidR="00BB067F">
        <w:rPr>
          <w:b/>
          <w:sz w:val="22"/>
          <w:szCs w:val="22"/>
        </w:rPr>
        <w:t>3</w:t>
      </w:r>
      <w:r w:rsidR="000C52C9" w:rsidRPr="00EC3061">
        <w:rPr>
          <w:b/>
          <w:sz w:val="22"/>
          <w:szCs w:val="22"/>
        </w:rPr>
        <w:t xml:space="preserve">0 </w:t>
      </w:r>
      <w:r w:rsidR="00BD74DA">
        <w:rPr>
          <w:b/>
          <w:sz w:val="22"/>
          <w:szCs w:val="22"/>
        </w:rPr>
        <w:t>2</w:t>
      </w:r>
      <w:r w:rsidR="00BB067F">
        <w:rPr>
          <w:b/>
          <w:sz w:val="22"/>
          <w:szCs w:val="22"/>
        </w:rPr>
        <w:t>6</w:t>
      </w:r>
      <w:r w:rsidR="00EC3061" w:rsidRPr="00EC3061">
        <w:rPr>
          <w:b/>
          <w:sz w:val="22"/>
          <w:szCs w:val="22"/>
        </w:rPr>
        <w:t>.</w:t>
      </w:r>
      <w:r w:rsidR="00954075">
        <w:rPr>
          <w:b/>
          <w:sz w:val="22"/>
          <w:szCs w:val="22"/>
        </w:rPr>
        <w:t>0</w:t>
      </w:r>
      <w:r w:rsidR="00202AC2">
        <w:rPr>
          <w:b/>
          <w:sz w:val="22"/>
          <w:szCs w:val="22"/>
        </w:rPr>
        <w:t>1</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B067F">
        <w:rPr>
          <w:b/>
          <w:sz w:val="22"/>
          <w:szCs w:val="22"/>
        </w:rPr>
        <w:t>2</w:t>
      </w:r>
      <w:r w:rsidR="005F41D4">
        <w:rPr>
          <w:b/>
          <w:sz w:val="22"/>
          <w:szCs w:val="22"/>
        </w:rPr>
        <w:t>:</w:t>
      </w:r>
      <w:r w:rsidR="00BB067F">
        <w:rPr>
          <w:b/>
          <w:sz w:val="22"/>
          <w:szCs w:val="22"/>
        </w:rPr>
        <w:t>3</w:t>
      </w:r>
      <w:r w:rsidR="0051465A">
        <w:rPr>
          <w:b/>
          <w:sz w:val="22"/>
          <w:szCs w:val="22"/>
        </w:rPr>
        <w:t xml:space="preserve">0 часов </w:t>
      </w:r>
      <w:r w:rsidR="00BD74DA">
        <w:rPr>
          <w:b/>
          <w:sz w:val="22"/>
          <w:szCs w:val="22"/>
        </w:rPr>
        <w:t>2</w:t>
      </w:r>
      <w:r w:rsidR="00BB067F">
        <w:rPr>
          <w:b/>
          <w:sz w:val="22"/>
          <w:szCs w:val="22"/>
        </w:rPr>
        <w:t>6</w:t>
      </w:r>
      <w:r w:rsidR="00EC3061" w:rsidRPr="00EC3061">
        <w:rPr>
          <w:b/>
          <w:sz w:val="22"/>
          <w:szCs w:val="22"/>
        </w:rPr>
        <w:t>.</w:t>
      </w:r>
      <w:r w:rsidR="00954075">
        <w:rPr>
          <w:b/>
          <w:sz w:val="22"/>
          <w:szCs w:val="22"/>
        </w:rPr>
        <w:t>0</w:t>
      </w:r>
      <w:r w:rsidR="00202AC2">
        <w:rPr>
          <w:b/>
          <w:sz w:val="22"/>
          <w:szCs w:val="22"/>
        </w:rPr>
        <w:t>1</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BB067F">
        <w:rPr>
          <w:b/>
          <w:sz w:val="22"/>
          <w:szCs w:val="22"/>
        </w:rPr>
        <w:t>21</w:t>
      </w:r>
      <w:r w:rsidR="003B1BDB" w:rsidRPr="00EC3061">
        <w:rPr>
          <w:b/>
          <w:sz w:val="22"/>
          <w:szCs w:val="22"/>
        </w:rPr>
        <w:t>.</w:t>
      </w:r>
      <w:r w:rsidR="00954075">
        <w:rPr>
          <w:b/>
          <w:sz w:val="22"/>
          <w:szCs w:val="22"/>
        </w:rPr>
        <w:t>0</w:t>
      </w:r>
      <w:r w:rsidR="001E432A">
        <w:rPr>
          <w:b/>
          <w:sz w:val="22"/>
          <w:szCs w:val="22"/>
        </w:rPr>
        <w:t>1</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BB067F">
        <w:rPr>
          <w:b/>
          <w:sz w:val="22"/>
          <w:szCs w:val="22"/>
        </w:rPr>
        <w:t>26</w:t>
      </w:r>
      <w:r w:rsidR="00F21B72" w:rsidRPr="00EC3061">
        <w:rPr>
          <w:b/>
          <w:sz w:val="22"/>
          <w:szCs w:val="22"/>
        </w:rPr>
        <w:t>.</w:t>
      </w:r>
      <w:r w:rsidR="00954075">
        <w:rPr>
          <w:b/>
          <w:sz w:val="22"/>
          <w:szCs w:val="22"/>
        </w:rPr>
        <w:t>01.</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916EC">
        <w:rPr>
          <w:b/>
          <w:sz w:val="22"/>
          <w:szCs w:val="22"/>
        </w:rPr>
        <w:t>реактивов для бесперебойной работы лаборатории больницы</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E916EC">
        <w:rPr>
          <w:b/>
          <w:sz w:val="22"/>
          <w:szCs w:val="22"/>
        </w:rPr>
        <w:t>12</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E916EC">
        <w:rPr>
          <w:b/>
          <w:sz w:val="22"/>
          <w:szCs w:val="22"/>
        </w:rPr>
        <w:t>реактивы для бесперебойной работы лаборатории больницы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44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5"/>
        <w:gridCol w:w="1790"/>
        <w:gridCol w:w="5817"/>
        <w:gridCol w:w="1216"/>
        <w:gridCol w:w="796"/>
      </w:tblGrid>
      <w:tr w:rsidR="00E916EC" w:rsidRPr="00A53A63" w:rsidTr="002A6B6A">
        <w:trPr>
          <w:trHeight w:val="362"/>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spacing w:before="300" w:after="300" w:line="200" w:lineRule="atLeast"/>
              <w:ind w:firstLine="0"/>
              <w:jc w:val="center"/>
              <w:rPr>
                <w:b/>
                <w:sz w:val="20"/>
              </w:rPr>
            </w:pPr>
            <w:r w:rsidRPr="00A53A63">
              <w:rPr>
                <w:b/>
                <w:sz w:val="20"/>
              </w:rPr>
              <w:t>№ п/п</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916EC" w:rsidRPr="00A53A63" w:rsidRDefault="00E916EC" w:rsidP="002A6B6A">
            <w:pPr>
              <w:spacing w:before="300" w:after="300"/>
              <w:ind w:firstLine="0"/>
              <w:rPr>
                <w:b/>
                <w:sz w:val="20"/>
              </w:rPr>
            </w:pPr>
            <w:r w:rsidRPr="00A53A63">
              <w:rPr>
                <w:b/>
                <w:sz w:val="20"/>
              </w:rPr>
              <w:t>Наименование товара</w:t>
            </w:r>
          </w:p>
        </w:tc>
        <w:tc>
          <w:tcPr>
            <w:tcW w:w="6384" w:type="dxa"/>
            <w:tcBorders>
              <w:top w:val="single" w:sz="6" w:space="0" w:color="000000"/>
              <w:left w:val="single" w:sz="6" w:space="0" w:color="000000"/>
              <w:bottom w:val="single" w:sz="6" w:space="0" w:color="000000"/>
              <w:right w:val="single" w:sz="6" w:space="0" w:color="000000"/>
            </w:tcBorders>
          </w:tcPr>
          <w:p w:rsidR="00E916EC" w:rsidRPr="00A53A63" w:rsidRDefault="00E916EC" w:rsidP="002A6B6A">
            <w:pPr>
              <w:spacing w:before="300" w:after="300" w:line="200" w:lineRule="atLeast"/>
              <w:rPr>
                <w:b/>
                <w:sz w:val="20"/>
              </w:rPr>
            </w:pPr>
            <w:r w:rsidRPr="00A53A63">
              <w:rPr>
                <w:b/>
                <w:color w:val="000000" w:themeColor="text1"/>
                <w:sz w:val="20"/>
              </w:rPr>
              <w:t>Технические характеристики товара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916EC" w:rsidRPr="00A53A63" w:rsidRDefault="00E916EC" w:rsidP="002A6B6A">
            <w:pPr>
              <w:spacing w:before="300" w:after="300" w:line="200" w:lineRule="atLeast"/>
              <w:ind w:firstLine="0"/>
              <w:jc w:val="center"/>
              <w:rPr>
                <w:b/>
                <w:sz w:val="20"/>
              </w:rPr>
            </w:pPr>
            <w:r w:rsidRPr="00A53A63">
              <w:rPr>
                <w:b/>
                <w:sz w:val="20"/>
              </w:rPr>
              <w:t>Ед. изм.</w:t>
            </w:r>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spacing w:before="300" w:after="300" w:line="200" w:lineRule="atLeast"/>
              <w:ind w:firstLine="0"/>
              <w:jc w:val="center"/>
              <w:rPr>
                <w:b/>
                <w:sz w:val="20"/>
              </w:rPr>
            </w:pPr>
            <w:r w:rsidRPr="00A53A63">
              <w:rPr>
                <w:b/>
                <w:sz w:val="20"/>
              </w:rPr>
              <w:t>Кол-во</w:t>
            </w:r>
          </w:p>
        </w:tc>
      </w:tr>
      <w:tr w:rsidR="00E916EC" w:rsidRPr="00A53A63" w:rsidTr="002A6B6A">
        <w:trPr>
          <w:trHeight w:val="2653"/>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spacing w:before="300" w:after="300" w:line="200" w:lineRule="atLeast"/>
              <w:ind w:firstLine="0"/>
              <w:jc w:val="center"/>
              <w:rPr>
                <w:sz w:val="20"/>
              </w:rPr>
            </w:pPr>
            <w:r w:rsidRPr="00A53A63">
              <w:rPr>
                <w:sz w:val="20"/>
              </w:rPr>
              <w:t>1</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916EC" w:rsidRPr="00A53A63" w:rsidRDefault="00E916EC" w:rsidP="002A6B6A">
            <w:pPr>
              <w:ind w:firstLine="0"/>
              <w:contextualSpacing/>
              <w:rPr>
                <w:sz w:val="20"/>
              </w:rPr>
            </w:pPr>
            <w:r>
              <w:rPr>
                <w:sz w:val="20"/>
              </w:rPr>
              <w:t>Индикаторные полоски (кетоны)</w:t>
            </w:r>
          </w:p>
        </w:tc>
        <w:tc>
          <w:tcPr>
            <w:tcW w:w="6384" w:type="dxa"/>
            <w:tcBorders>
              <w:top w:val="single" w:sz="6" w:space="0" w:color="000000"/>
              <w:left w:val="single" w:sz="6" w:space="0" w:color="000000"/>
              <w:bottom w:val="single" w:sz="6" w:space="0" w:color="000000"/>
              <w:right w:val="single" w:sz="6" w:space="0" w:color="000000"/>
            </w:tcBorders>
          </w:tcPr>
          <w:p w:rsidR="00E916EC" w:rsidRDefault="00E916EC" w:rsidP="002A6B6A">
            <w:pPr>
              <w:spacing w:after="200" w:line="276" w:lineRule="auto"/>
              <w:ind w:firstLine="0"/>
              <w:rPr>
                <w:color w:val="000000"/>
                <w:sz w:val="16"/>
                <w:szCs w:val="16"/>
                <w:shd w:val="clear" w:color="auto" w:fill="FFFFFF"/>
              </w:rPr>
            </w:pPr>
            <w:r>
              <w:rPr>
                <w:color w:val="000000"/>
                <w:sz w:val="16"/>
                <w:szCs w:val="16"/>
                <w:shd w:val="clear" w:color="auto" w:fill="FFFFFF"/>
              </w:rPr>
              <w:t>П</w:t>
            </w:r>
            <w:r w:rsidRPr="00CE031C">
              <w:rPr>
                <w:color w:val="000000"/>
                <w:sz w:val="16"/>
                <w:szCs w:val="16"/>
                <w:shd w:val="clear" w:color="auto" w:fill="FFFFFF"/>
              </w:rPr>
              <w:t>редназначены для экспресс-анализа содержания кетонов в моче человека. </w:t>
            </w:r>
            <w:r w:rsidRPr="00CE031C">
              <w:rPr>
                <w:color w:val="000000"/>
                <w:sz w:val="16"/>
                <w:szCs w:val="16"/>
              </w:rPr>
              <w:br/>
            </w:r>
            <w:r w:rsidRPr="00CE031C">
              <w:rPr>
                <w:color w:val="000000"/>
                <w:sz w:val="16"/>
                <w:szCs w:val="16"/>
              </w:rPr>
              <w:br/>
            </w:r>
            <w:r w:rsidRPr="00CE031C">
              <w:rPr>
                <w:color w:val="000000"/>
                <w:sz w:val="16"/>
                <w:szCs w:val="16"/>
                <w:shd w:val="clear" w:color="auto" w:fill="FFFFFF"/>
              </w:rPr>
              <w:t>Диапазон определяемых концентраций кетонов (в виде ацетоуксусной кислоты) в моче составляет 0,5 — 10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(5 — 100 мг/100 мл). </w:t>
            </w:r>
          </w:p>
          <w:p w:rsidR="00E916E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Цветовая шкала для определения кетонов содержит пять цветовых полей, соответствующих концентрациям ацетоуксусной кислоты 0; 0,5; 1; 4 и 10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(соответственно 0; 5; 10; 40 и 100 мг/100 мл). </w:t>
            </w:r>
          </w:p>
          <w:p w:rsidR="00E916E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Чувствительность определения кетонов составляет 0,5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(5 мг/100 мл). </w:t>
            </w:r>
          </w:p>
          <w:p w:rsidR="00E916EC" w:rsidRPr="00CE031C" w:rsidRDefault="00E916EC" w:rsidP="002A6B6A">
            <w:pPr>
              <w:spacing w:after="200" w:line="276" w:lineRule="auto"/>
              <w:ind w:firstLine="0"/>
              <w:rPr>
                <w:color w:val="000000"/>
                <w:sz w:val="16"/>
                <w:szCs w:val="16"/>
              </w:rPr>
            </w:pPr>
            <w:r w:rsidRPr="00CE031C">
              <w:rPr>
                <w:color w:val="000000"/>
                <w:sz w:val="16"/>
                <w:szCs w:val="16"/>
                <w:shd w:val="clear" w:color="auto" w:fill="FFFFFF"/>
              </w:rPr>
              <w:t>Время анализа составляет 2 минуты.</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916EC" w:rsidRPr="00A53A63" w:rsidRDefault="00E916EC" w:rsidP="002A6B6A">
            <w:pPr>
              <w:ind w:firstLine="0"/>
              <w:contextualSpacing/>
              <w:jc w:val="center"/>
              <w:rPr>
                <w:sz w:val="20"/>
              </w:rPr>
            </w:pPr>
            <w:proofErr w:type="spellStart"/>
            <w:r>
              <w:rPr>
                <w:sz w:val="20"/>
              </w:rPr>
              <w:t>упак</w:t>
            </w:r>
            <w:proofErr w:type="spellEnd"/>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ind w:firstLine="0"/>
              <w:contextualSpacing/>
              <w:jc w:val="center"/>
              <w:rPr>
                <w:sz w:val="20"/>
              </w:rPr>
            </w:pPr>
            <w:r>
              <w:rPr>
                <w:sz w:val="20"/>
              </w:rPr>
              <w:t>30</w:t>
            </w:r>
          </w:p>
        </w:tc>
      </w:tr>
      <w:tr w:rsidR="00E916EC" w:rsidRPr="00A53A63" w:rsidTr="002A6B6A">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spacing w:before="300" w:after="300" w:line="200" w:lineRule="atLeast"/>
              <w:ind w:firstLine="0"/>
              <w:jc w:val="center"/>
              <w:rPr>
                <w:sz w:val="20"/>
              </w:rPr>
            </w:pPr>
            <w:r w:rsidRPr="00A53A63">
              <w:rPr>
                <w:sz w:val="20"/>
              </w:rPr>
              <w:t>2</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916EC" w:rsidRPr="00A53A63" w:rsidRDefault="00E916EC" w:rsidP="002A6B6A">
            <w:pPr>
              <w:ind w:firstLine="0"/>
              <w:contextualSpacing/>
              <w:rPr>
                <w:sz w:val="20"/>
              </w:rPr>
            </w:pPr>
            <w:r>
              <w:rPr>
                <w:sz w:val="20"/>
              </w:rPr>
              <w:t>Индикаторные полоски (глюкоза)</w:t>
            </w:r>
          </w:p>
        </w:tc>
        <w:tc>
          <w:tcPr>
            <w:tcW w:w="6384" w:type="dxa"/>
            <w:tcBorders>
              <w:top w:val="single" w:sz="6" w:space="0" w:color="000000"/>
              <w:left w:val="single" w:sz="6" w:space="0" w:color="000000"/>
              <w:bottom w:val="single" w:sz="6" w:space="0" w:color="000000"/>
              <w:right w:val="single" w:sz="6" w:space="0" w:color="000000"/>
            </w:tcBorders>
          </w:tcPr>
          <w:p w:rsidR="00E916EC" w:rsidRDefault="00E916EC" w:rsidP="002A6B6A">
            <w:pPr>
              <w:spacing w:after="200" w:line="276" w:lineRule="auto"/>
              <w:ind w:firstLine="0"/>
              <w:rPr>
                <w:color w:val="000000"/>
                <w:sz w:val="16"/>
                <w:szCs w:val="16"/>
                <w:shd w:val="clear" w:color="auto" w:fill="FFFFFF"/>
              </w:rPr>
            </w:pPr>
            <w:r>
              <w:rPr>
                <w:color w:val="000000"/>
                <w:sz w:val="16"/>
                <w:szCs w:val="16"/>
                <w:shd w:val="clear" w:color="auto" w:fill="FFFFFF"/>
              </w:rPr>
              <w:t>П</w:t>
            </w:r>
            <w:r w:rsidRPr="00CE031C">
              <w:rPr>
                <w:color w:val="000000"/>
                <w:sz w:val="16"/>
                <w:szCs w:val="16"/>
                <w:shd w:val="clear" w:color="auto" w:fill="FFFFFF"/>
              </w:rPr>
              <w:t>редназначены для экспресс-анализа содержания глюкозы в моче человека. </w:t>
            </w:r>
            <w:r w:rsidRPr="00CE031C">
              <w:rPr>
                <w:color w:val="000000"/>
                <w:sz w:val="16"/>
                <w:szCs w:val="16"/>
              </w:rPr>
              <w:br/>
            </w:r>
            <w:r w:rsidRPr="00CE031C">
              <w:rPr>
                <w:color w:val="000000"/>
                <w:sz w:val="16"/>
                <w:szCs w:val="16"/>
              </w:rPr>
              <w:br/>
            </w:r>
            <w:proofErr w:type="spellStart"/>
            <w:r>
              <w:rPr>
                <w:color w:val="000000"/>
                <w:sz w:val="16"/>
                <w:szCs w:val="16"/>
                <w:shd w:val="clear" w:color="auto" w:fill="FFFFFF"/>
              </w:rPr>
              <w:t>Диа</w:t>
            </w:r>
            <w:r w:rsidRPr="00CE031C">
              <w:rPr>
                <w:color w:val="000000"/>
                <w:sz w:val="16"/>
                <w:szCs w:val="16"/>
                <w:shd w:val="clear" w:color="auto" w:fill="FFFFFF"/>
              </w:rPr>
              <w:t>азон</w:t>
            </w:r>
            <w:proofErr w:type="spellEnd"/>
            <w:r w:rsidRPr="00CE031C">
              <w:rPr>
                <w:color w:val="000000"/>
                <w:sz w:val="16"/>
                <w:szCs w:val="16"/>
                <w:shd w:val="clear" w:color="auto" w:fill="FFFFFF"/>
              </w:rPr>
              <w:t xml:space="preserve"> определяемых концентраций глюкозы в моче составляет 0,05 — 1,0%. </w:t>
            </w:r>
          </w:p>
          <w:p w:rsidR="00E916EC" w:rsidRDefault="00E916EC" w:rsidP="002A6B6A">
            <w:pPr>
              <w:spacing w:after="200" w:line="276" w:lineRule="auto"/>
              <w:rPr>
                <w:color w:val="000000"/>
                <w:sz w:val="16"/>
                <w:szCs w:val="16"/>
                <w:shd w:val="clear" w:color="auto" w:fill="FFFFFF"/>
              </w:rPr>
            </w:pPr>
            <w:r w:rsidRPr="00CE031C">
              <w:rPr>
                <w:color w:val="000000"/>
                <w:sz w:val="16"/>
                <w:szCs w:val="16"/>
                <w:shd w:val="clear" w:color="auto" w:fill="FFFFFF"/>
              </w:rPr>
              <w:t xml:space="preserve">Цветовая шкала на этикетке содержит пять цветовых полей, соответствующих концентрациям глюкозы 0; 0,05; 0,1; 0,3 и 1,0 %. </w:t>
            </w:r>
          </w:p>
          <w:p w:rsidR="00E916E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Чувствительность определения глюкозы составляет 0,05% (что соответствует содержанию глюкозы 50 мг/100мл, 0,5 г/л или 2,8 </w:t>
            </w:r>
            <w:proofErr w:type="spellStart"/>
            <w:r w:rsidRPr="00CE031C">
              <w:rPr>
                <w:color w:val="000000"/>
                <w:sz w:val="16"/>
                <w:szCs w:val="16"/>
                <w:shd w:val="clear" w:color="auto" w:fill="FFFFFF"/>
              </w:rPr>
              <w:t>ммоль</w:t>
            </w:r>
            <w:proofErr w:type="spellEnd"/>
            <w:r w:rsidRPr="00CE031C">
              <w:rPr>
                <w:color w:val="000000"/>
                <w:sz w:val="16"/>
                <w:szCs w:val="16"/>
                <w:shd w:val="clear" w:color="auto" w:fill="FFFFFF"/>
              </w:rPr>
              <w:t xml:space="preserve">/л). </w:t>
            </w:r>
          </w:p>
          <w:p w:rsidR="00E916EC" w:rsidRPr="00CE031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Время анализа составляет 2 минуты. </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916EC" w:rsidRPr="00A53A63" w:rsidRDefault="00E916EC" w:rsidP="002A6B6A">
            <w:pPr>
              <w:ind w:firstLine="0"/>
              <w:contextualSpacing/>
              <w:jc w:val="center"/>
              <w:rPr>
                <w:sz w:val="20"/>
              </w:rPr>
            </w:pPr>
            <w:proofErr w:type="spellStart"/>
            <w:r>
              <w:rPr>
                <w:sz w:val="20"/>
              </w:rPr>
              <w:t>упак</w:t>
            </w:r>
            <w:proofErr w:type="spellEnd"/>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ind w:firstLine="0"/>
              <w:contextualSpacing/>
              <w:jc w:val="center"/>
              <w:rPr>
                <w:sz w:val="20"/>
              </w:rPr>
            </w:pPr>
            <w:r>
              <w:rPr>
                <w:sz w:val="20"/>
              </w:rPr>
              <w:t>200</w:t>
            </w:r>
          </w:p>
        </w:tc>
      </w:tr>
      <w:tr w:rsidR="00E916EC" w:rsidRPr="00A53A63" w:rsidTr="002A6B6A">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spacing w:before="300" w:after="300" w:line="200" w:lineRule="atLeast"/>
              <w:ind w:firstLine="0"/>
              <w:jc w:val="center"/>
              <w:rPr>
                <w:sz w:val="20"/>
              </w:rPr>
            </w:pPr>
            <w:r w:rsidRPr="00A53A63">
              <w:rPr>
                <w:sz w:val="20"/>
              </w:rPr>
              <w:t>3</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916EC" w:rsidRPr="00A53A63" w:rsidRDefault="00E916EC" w:rsidP="002A6B6A">
            <w:pPr>
              <w:ind w:firstLine="0"/>
              <w:contextualSpacing/>
              <w:rPr>
                <w:sz w:val="20"/>
              </w:rPr>
            </w:pPr>
            <w:r>
              <w:rPr>
                <w:sz w:val="20"/>
              </w:rPr>
              <w:t>Индикаторные полоски (белок)</w:t>
            </w:r>
          </w:p>
        </w:tc>
        <w:tc>
          <w:tcPr>
            <w:tcW w:w="6384" w:type="dxa"/>
            <w:tcBorders>
              <w:top w:val="single" w:sz="6" w:space="0" w:color="000000"/>
              <w:left w:val="single" w:sz="6" w:space="0" w:color="000000"/>
              <w:bottom w:val="single" w:sz="6" w:space="0" w:color="000000"/>
              <w:right w:val="single" w:sz="6" w:space="0" w:color="000000"/>
            </w:tcBorders>
          </w:tcPr>
          <w:p w:rsidR="00E916EC" w:rsidRDefault="00E916EC" w:rsidP="002A6B6A">
            <w:pPr>
              <w:spacing w:after="200" w:line="276" w:lineRule="auto"/>
              <w:ind w:firstLine="0"/>
              <w:rPr>
                <w:color w:val="000000"/>
                <w:sz w:val="16"/>
                <w:szCs w:val="16"/>
                <w:shd w:val="clear" w:color="auto" w:fill="FFFFFF"/>
              </w:rPr>
            </w:pPr>
            <w:r>
              <w:rPr>
                <w:color w:val="000000"/>
                <w:sz w:val="16"/>
                <w:szCs w:val="16"/>
                <w:shd w:val="clear" w:color="auto" w:fill="FFFFFF"/>
              </w:rPr>
              <w:t>П</w:t>
            </w:r>
            <w:r w:rsidRPr="00CE031C">
              <w:rPr>
                <w:color w:val="000000"/>
                <w:sz w:val="16"/>
                <w:szCs w:val="16"/>
                <w:shd w:val="clear" w:color="auto" w:fill="FFFFFF"/>
              </w:rPr>
              <w:t>редназначены для экспресс- анализа содержания белка (альбумина) в моче человека. </w:t>
            </w:r>
            <w:r w:rsidRPr="00CE031C">
              <w:rPr>
                <w:color w:val="000000"/>
                <w:sz w:val="16"/>
                <w:szCs w:val="16"/>
              </w:rPr>
              <w:br/>
            </w:r>
            <w:r w:rsidRPr="00CE031C">
              <w:rPr>
                <w:color w:val="000000"/>
                <w:sz w:val="16"/>
                <w:szCs w:val="16"/>
              </w:rPr>
              <w:br/>
            </w:r>
            <w:r w:rsidRPr="00CE031C">
              <w:rPr>
                <w:color w:val="000000"/>
                <w:sz w:val="16"/>
                <w:szCs w:val="16"/>
                <w:shd w:val="clear" w:color="auto" w:fill="FFFFFF"/>
              </w:rPr>
              <w:t>Диапазон определяемых концентраций белка в моче составляет 0,1 — 5 г/ л.</w:t>
            </w:r>
          </w:p>
          <w:p w:rsidR="00E916E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 Цветовая шкала для определения белка содержит пять цветовых полей, соответствующих концентрациям белка 0; 0,1; 0,3; 1 и 5 г/л. </w:t>
            </w:r>
          </w:p>
          <w:p w:rsidR="00E916E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 xml:space="preserve">Шкала откалибрована с использованием соответствующих контрольных растворов человеческого сывороточного альбумина. Чувствительность определения белка составляет 0,1 г/л (10 мг/100 мл). </w:t>
            </w:r>
          </w:p>
          <w:p w:rsidR="00E916EC" w:rsidRPr="00CE031C" w:rsidRDefault="00E916EC" w:rsidP="002A6B6A">
            <w:pPr>
              <w:spacing w:after="200" w:line="276" w:lineRule="auto"/>
              <w:ind w:firstLine="0"/>
              <w:rPr>
                <w:color w:val="000000"/>
                <w:sz w:val="16"/>
                <w:szCs w:val="16"/>
                <w:shd w:val="clear" w:color="auto" w:fill="FFFFFF"/>
              </w:rPr>
            </w:pPr>
            <w:r w:rsidRPr="00CE031C">
              <w:rPr>
                <w:color w:val="000000"/>
                <w:sz w:val="16"/>
                <w:szCs w:val="16"/>
                <w:shd w:val="clear" w:color="auto" w:fill="FFFFFF"/>
              </w:rPr>
              <w:t>Время анализа составляет 1 минуту.</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916EC" w:rsidRPr="00A53A63" w:rsidRDefault="00E916EC" w:rsidP="002A6B6A">
            <w:pPr>
              <w:ind w:firstLine="0"/>
              <w:contextualSpacing/>
              <w:jc w:val="center"/>
              <w:rPr>
                <w:sz w:val="20"/>
              </w:rPr>
            </w:pPr>
            <w:proofErr w:type="spellStart"/>
            <w:r>
              <w:rPr>
                <w:sz w:val="20"/>
              </w:rPr>
              <w:t>упак</w:t>
            </w:r>
            <w:proofErr w:type="spellEnd"/>
          </w:p>
        </w:tc>
        <w:tc>
          <w:tcPr>
            <w:tcW w:w="869" w:type="dxa"/>
            <w:tcBorders>
              <w:top w:val="single" w:sz="6" w:space="0" w:color="000000"/>
              <w:left w:val="single" w:sz="6" w:space="0" w:color="000000"/>
              <w:bottom w:val="single" w:sz="6" w:space="0" w:color="000000"/>
              <w:right w:val="single" w:sz="6" w:space="0" w:color="000000"/>
            </w:tcBorders>
            <w:vAlign w:val="center"/>
          </w:tcPr>
          <w:p w:rsidR="00E916EC" w:rsidRPr="00A53A63" w:rsidRDefault="00E916EC" w:rsidP="002A6B6A">
            <w:pPr>
              <w:ind w:firstLine="0"/>
              <w:contextualSpacing/>
              <w:jc w:val="center"/>
              <w:rPr>
                <w:sz w:val="20"/>
              </w:rPr>
            </w:pPr>
            <w:r>
              <w:rPr>
                <w:sz w:val="20"/>
              </w:rPr>
              <w:t>10</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E916EC">
        <w:rPr>
          <w:b/>
          <w:sz w:val="22"/>
          <w:szCs w:val="22"/>
        </w:rPr>
        <w:t>реактивов для бесперебойной работы лаборатории больницы</w:t>
      </w:r>
      <w:r w:rsidR="00E916EC"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 xml:space="preserve">Михаила </w:t>
      </w:r>
      <w:proofErr w:type="spellStart"/>
      <w:r w:rsidR="0045481A">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к договору №  ______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997336" w:rsidRPr="00DE0826" w:rsidTr="004D08F6">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6B7E" w:rsidRPr="00DE0826" w:rsidRDefault="00997336" w:rsidP="00B46B7E">
            <w:pPr>
              <w:pStyle w:val="Standard"/>
              <w:snapToGrid w:val="0"/>
              <w:spacing w:line="360" w:lineRule="exact"/>
              <w:jc w:val="center"/>
            </w:pPr>
            <w:r w:rsidRPr="00DE0826">
              <w:t>Цена за ед. с НДС</w:t>
            </w:r>
            <w:r w:rsidR="00B46B7E">
              <w:t>/</w:t>
            </w:r>
            <w:r w:rsidR="00B46B7E" w:rsidRPr="00DE0826">
              <w:t xml:space="preserve"> НДС не облагает</w:t>
            </w:r>
          </w:p>
          <w:p w:rsidR="00997336" w:rsidRPr="00DE0826" w:rsidRDefault="00B46B7E" w:rsidP="00B46B7E">
            <w:pPr>
              <w:pStyle w:val="Standard"/>
              <w:snapToGrid w:val="0"/>
              <w:spacing w:line="360" w:lineRule="exact"/>
              <w:jc w:val="center"/>
            </w:pPr>
            <w:proofErr w:type="spellStart"/>
            <w:r w:rsidRPr="00DE0826">
              <w:t>ся</w:t>
            </w:r>
            <w:proofErr w:type="spellEnd"/>
            <w:r w:rsidR="00997336"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4D08F6">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4D08F6">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4D08F6">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sidR="00C56B8E">
        <w:rPr>
          <w:rStyle w:val="42"/>
          <w:sz w:val="24"/>
          <w:szCs w:val="24"/>
        </w:rPr>
        <w:t xml:space="preserve"> (указать основание)</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E1" w:rsidRDefault="00FE43E1" w:rsidP="00547DA4">
      <w:pPr>
        <w:spacing w:before="0"/>
      </w:pPr>
      <w:r>
        <w:separator/>
      </w:r>
    </w:p>
  </w:endnote>
  <w:endnote w:type="continuationSeparator" w:id="0">
    <w:p w:rsidR="00FE43E1" w:rsidRDefault="00FE43E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5" w:rsidRDefault="0095407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54075" w:rsidRDefault="0095407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5" w:rsidRDefault="0095407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5" w:rsidRDefault="0095407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54075" w:rsidRDefault="0095407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5" w:rsidRDefault="0095407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E1" w:rsidRDefault="00FE43E1" w:rsidP="00547DA4">
      <w:pPr>
        <w:spacing w:before="0"/>
      </w:pPr>
      <w:r>
        <w:separator/>
      </w:r>
    </w:p>
  </w:footnote>
  <w:footnote w:type="continuationSeparator" w:id="0">
    <w:p w:rsidR="00FE43E1" w:rsidRDefault="00FE43E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5" w:rsidRDefault="0095407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4075" w:rsidRDefault="0095407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5" w:rsidRDefault="0095407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4075" w:rsidRDefault="009540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4EE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9191D"/>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15EFE"/>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067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916EC"/>
    <w:rsid w:val="00EB39B6"/>
    <w:rsid w:val="00EC3061"/>
    <w:rsid w:val="00EC6806"/>
    <w:rsid w:val="00ED1425"/>
    <w:rsid w:val="00ED37BE"/>
    <w:rsid w:val="00ED7E25"/>
    <w:rsid w:val="00EE3219"/>
    <w:rsid w:val="00EF7C8D"/>
    <w:rsid w:val="00F01F22"/>
    <w:rsid w:val="00F05DC7"/>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4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889F-8D60-443C-8878-77CA132B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24</Pages>
  <Words>9047</Words>
  <Characters>51573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282</cp:revision>
  <cp:lastPrinted>2020-11-27T11:59:00Z</cp:lastPrinted>
  <dcterms:created xsi:type="dcterms:W3CDTF">2019-04-01T06:10:00Z</dcterms:created>
  <dcterms:modified xsi:type="dcterms:W3CDTF">2021-01-20T11:14:00Z</dcterms:modified>
</cp:coreProperties>
</file>