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405150">
        <w:rPr>
          <w:b/>
          <w:szCs w:val="24"/>
        </w:rPr>
        <w:t>138</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w:t>
      </w:r>
      <w:r w:rsidR="00877914">
        <w:rPr>
          <w:rFonts w:eastAsia="Calibri"/>
          <w:szCs w:val="24"/>
        </w:rPr>
        <w:t>(техническое обслуживание и</w:t>
      </w:r>
      <w:r w:rsidR="00BB1C24" w:rsidRPr="00BB1C24">
        <w:rPr>
          <w:rFonts w:eastAsia="Calibri"/>
          <w:szCs w:val="24"/>
        </w:rPr>
        <w:t xml:space="preserve"> </w:t>
      </w:r>
      <w:r w:rsidR="00D942F6" w:rsidRPr="00D942F6">
        <w:rPr>
          <w:bCs/>
          <w:color w:val="000000"/>
          <w:szCs w:val="24"/>
        </w:rPr>
        <w:t>ремонт</w:t>
      </w:r>
      <w:r w:rsidR="00A337E4">
        <w:rPr>
          <w:bCs/>
          <w:color w:val="000000"/>
          <w:szCs w:val="24"/>
        </w:rPr>
        <w:t xml:space="preserve"> медицинской техники</w:t>
      </w:r>
      <w:r w:rsidR="00877914">
        <w:rPr>
          <w:bCs/>
          <w:color w:val="000000"/>
          <w:szCs w:val="24"/>
        </w:rPr>
        <w:t>)</w:t>
      </w:r>
      <w:r w:rsidR="00A337E4">
        <w:rPr>
          <w:bCs/>
          <w:color w:val="000000"/>
          <w:szCs w:val="24"/>
        </w:rPr>
        <w:t>.</w:t>
      </w:r>
    </w:p>
    <w:p w:rsidR="001211B2" w:rsidRPr="003662C1" w:rsidRDefault="001211B2" w:rsidP="0036502F">
      <w:pPr>
        <w:ind w:firstLine="142"/>
        <w:contextualSpacing/>
        <w:rPr>
          <w:bCs/>
          <w:szCs w:val="24"/>
        </w:rPr>
      </w:pP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Кол-во</w:t>
            </w:r>
          </w:p>
        </w:tc>
      </w:tr>
      <w:tr w:rsidR="00877914" w:rsidRPr="00A337E4" w:rsidTr="00877914">
        <w:tc>
          <w:tcPr>
            <w:tcW w:w="851"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spacing w:before="300" w:after="300" w:line="200" w:lineRule="atLeast"/>
              <w:ind w:firstLine="0"/>
              <w:jc w:val="center"/>
              <w:rPr>
                <w:sz w:val="22"/>
                <w:szCs w:val="22"/>
              </w:rPr>
            </w:pPr>
            <w:r w:rsidRPr="00877914">
              <w:rPr>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Стерилизатор паровой ГК-100-3м</w:t>
            </w:r>
          </w:p>
        </w:tc>
        <w:tc>
          <w:tcPr>
            <w:tcW w:w="4252"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Замена прокладки ЦТ.129.02.004</w:t>
            </w:r>
          </w:p>
        </w:tc>
        <w:tc>
          <w:tcPr>
            <w:tcW w:w="992" w:type="dxa"/>
            <w:tcBorders>
              <w:top w:val="single" w:sz="4" w:space="0" w:color="auto"/>
              <w:left w:val="single" w:sz="4" w:space="0" w:color="auto"/>
              <w:bottom w:val="single" w:sz="4" w:space="0" w:color="auto"/>
              <w:right w:val="single" w:sz="4" w:space="0" w:color="auto"/>
            </w:tcBorders>
            <w:vAlign w:val="center"/>
          </w:tcPr>
          <w:p w:rsidR="00877914" w:rsidRPr="00C220F7" w:rsidRDefault="00877914" w:rsidP="00877914">
            <w:pPr>
              <w:ind w:firstLine="0"/>
              <w:contextualSpacing/>
              <w:jc w:val="center"/>
              <w:rPr>
                <w:sz w:val="20"/>
              </w:rPr>
            </w:pPr>
            <w:r w:rsidRPr="00C220F7">
              <w:rPr>
                <w:sz w:val="20"/>
              </w:rPr>
              <w:t>2</w:t>
            </w:r>
          </w:p>
        </w:tc>
      </w:tr>
      <w:tr w:rsidR="00877914" w:rsidRPr="00A337E4" w:rsidTr="00877914">
        <w:tc>
          <w:tcPr>
            <w:tcW w:w="851"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spacing w:before="300" w:after="300" w:line="200" w:lineRule="atLeast"/>
              <w:ind w:firstLine="0"/>
              <w:jc w:val="center"/>
              <w:rPr>
                <w:sz w:val="22"/>
                <w:szCs w:val="22"/>
              </w:rPr>
            </w:pPr>
            <w:r w:rsidRPr="00877914">
              <w:rPr>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Стерилизатор паровой ГК-100-3м</w:t>
            </w:r>
          </w:p>
        </w:tc>
        <w:tc>
          <w:tcPr>
            <w:tcW w:w="4252"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Замена прокладки ЦТ.129.02.004 + Замена датчика уровня воды АГ 100.02.060</w:t>
            </w:r>
          </w:p>
        </w:tc>
        <w:tc>
          <w:tcPr>
            <w:tcW w:w="992" w:type="dxa"/>
            <w:tcBorders>
              <w:top w:val="single" w:sz="4" w:space="0" w:color="auto"/>
              <w:left w:val="single" w:sz="4" w:space="0" w:color="auto"/>
              <w:bottom w:val="single" w:sz="4" w:space="0" w:color="auto"/>
              <w:right w:val="single" w:sz="4" w:space="0" w:color="auto"/>
            </w:tcBorders>
            <w:vAlign w:val="center"/>
          </w:tcPr>
          <w:p w:rsidR="00877914" w:rsidRPr="00C220F7" w:rsidRDefault="00877914" w:rsidP="00877914">
            <w:pPr>
              <w:ind w:firstLine="0"/>
              <w:contextualSpacing/>
              <w:jc w:val="center"/>
              <w:rPr>
                <w:sz w:val="20"/>
              </w:rPr>
            </w:pPr>
            <w:r w:rsidRPr="00C220F7">
              <w:rPr>
                <w:sz w:val="20"/>
              </w:rPr>
              <w:t>1</w:t>
            </w:r>
          </w:p>
        </w:tc>
      </w:tr>
      <w:tr w:rsidR="00877914" w:rsidRPr="00A337E4" w:rsidTr="00877914">
        <w:tc>
          <w:tcPr>
            <w:tcW w:w="851"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spacing w:before="300" w:after="300" w:line="200" w:lineRule="atLeast"/>
              <w:ind w:firstLine="0"/>
              <w:jc w:val="center"/>
              <w:rPr>
                <w:sz w:val="22"/>
                <w:szCs w:val="22"/>
              </w:rPr>
            </w:pPr>
            <w:r w:rsidRPr="00877914">
              <w:rPr>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Сухожаровой шкаф ГП-40</w:t>
            </w:r>
          </w:p>
        </w:tc>
        <w:tc>
          <w:tcPr>
            <w:tcW w:w="4252"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lang w:val="en-US"/>
              </w:rPr>
            </w:pPr>
            <w:r w:rsidRPr="00877914">
              <w:rPr>
                <w:sz w:val="22"/>
                <w:szCs w:val="22"/>
              </w:rPr>
              <w:t xml:space="preserve">Замена выключателя </w:t>
            </w:r>
            <w:r w:rsidRPr="00877914">
              <w:rPr>
                <w:sz w:val="22"/>
                <w:szCs w:val="22"/>
                <w:lang w:val="en-US"/>
              </w:rPr>
              <w:t>XW604</w:t>
            </w:r>
          </w:p>
        </w:tc>
        <w:tc>
          <w:tcPr>
            <w:tcW w:w="992" w:type="dxa"/>
            <w:tcBorders>
              <w:top w:val="single" w:sz="4" w:space="0" w:color="auto"/>
              <w:left w:val="single" w:sz="4" w:space="0" w:color="auto"/>
              <w:bottom w:val="single" w:sz="4" w:space="0" w:color="auto"/>
              <w:right w:val="single" w:sz="4" w:space="0" w:color="auto"/>
            </w:tcBorders>
            <w:vAlign w:val="center"/>
          </w:tcPr>
          <w:p w:rsidR="00877914" w:rsidRPr="00C220F7" w:rsidRDefault="00877914" w:rsidP="00877914">
            <w:pPr>
              <w:ind w:firstLine="0"/>
              <w:contextualSpacing/>
              <w:jc w:val="center"/>
              <w:rPr>
                <w:sz w:val="20"/>
              </w:rPr>
            </w:pPr>
            <w:r w:rsidRPr="00C220F7">
              <w:rPr>
                <w:sz w:val="20"/>
              </w:rPr>
              <w:t>1</w:t>
            </w:r>
          </w:p>
        </w:tc>
      </w:tr>
      <w:tr w:rsidR="00877914" w:rsidRPr="00A337E4" w:rsidTr="00877914">
        <w:tc>
          <w:tcPr>
            <w:tcW w:w="851"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spacing w:before="300" w:after="300" w:line="200" w:lineRule="atLeast"/>
              <w:ind w:firstLine="0"/>
              <w:jc w:val="center"/>
              <w:rPr>
                <w:sz w:val="22"/>
                <w:szCs w:val="22"/>
              </w:rPr>
            </w:pPr>
            <w:r w:rsidRPr="00877914">
              <w:rPr>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Каталка медицинская</w:t>
            </w:r>
          </w:p>
        </w:tc>
        <w:tc>
          <w:tcPr>
            <w:tcW w:w="4252"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 xml:space="preserve">Колесная опора аппаратная поворотная </w:t>
            </w:r>
            <w:proofErr w:type="spellStart"/>
            <w:r w:rsidRPr="00877914">
              <w:rPr>
                <w:sz w:val="22"/>
                <w:szCs w:val="22"/>
              </w:rPr>
              <w:t>полиуритановое</w:t>
            </w:r>
            <w:proofErr w:type="spellEnd"/>
            <w:r w:rsidRPr="00877914">
              <w:rPr>
                <w:sz w:val="22"/>
                <w:szCs w:val="22"/>
              </w:rPr>
              <w:t xml:space="preserve"> покрытие полипропиленовый обод крепление под болт роликоподшипник диаметр 200мм</w:t>
            </w:r>
          </w:p>
        </w:tc>
        <w:tc>
          <w:tcPr>
            <w:tcW w:w="992" w:type="dxa"/>
            <w:tcBorders>
              <w:top w:val="single" w:sz="4" w:space="0" w:color="auto"/>
              <w:left w:val="single" w:sz="4" w:space="0" w:color="auto"/>
              <w:bottom w:val="single" w:sz="4" w:space="0" w:color="auto"/>
              <w:right w:val="single" w:sz="4" w:space="0" w:color="auto"/>
            </w:tcBorders>
            <w:vAlign w:val="center"/>
          </w:tcPr>
          <w:p w:rsidR="00877914" w:rsidRPr="00C220F7" w:rsidRDefault="00877914" w:rsidP="00877914">
            <w:pPr>
              <w:ind w:firstLine="0"/>
              <w:contextualSpacing/>
              <w:jc w:val="center"/>
              <w:rPr>
                <w:sz w:val="20"/>
              </w:rPr>
            </w:pPr>
            <w:r w:rsidRPr="00C220F7">
              <w:rPr>
                <w:sz w:val="20"/>
              </w:rPr>
              <w:t>2</w:t>
            </w:r>
          </w:p>
        </w:tc>
      </w:tr>
      <w:tr w:rsidR="00877914" w:rsidRPr="00A337E4" w:rsidTr="00877914">
        <w:tc>
          <w:tcPr>
            <w:tcW w:w="851"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spacing w:before="300" w:after="300" w:line="200" w:lineRule="atLeast"/>
              <w:ind w:firstLine="0"/>
              <w:jc w:val="center"/>
              <w:rPr>
                <w:sz w:val="22"/>
                <w:szCs w:val="22"/>
              </w:rPr>
            </w:pPr>
            <w:r w:rsidRPr="00877914">
              <w:rPr>
                <w:sz w:val="22"/>
                <w:szCs w:val="22"/>
              </w:rPr>
              <w:lastRenderedPageBreak/>
              <w:t>5</w:t>
            </w:r>
          </w:p>
        </w:tc>
        <w:tc>
          <w:tcPr>
            <w:tcW w:w="3545"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Манжета Импорт универсальная 22-36см</w:t>
            </w:r>
          </w:p>
        </w:tc>
        <w:tc>
          <w:tcPr>
            <w:tcW w:w="4252" w:type="dxa"/>
            <w:tcBorders>
              <w:top w:val="single" w:sz="4" w:space="0" w:color="auto"/>
              <w:left w:val="single" w:sz="4" w:space="0" w:color="auto"/>
              <w:bottom w:val="single" w:sz="4" w:space="0" w:color="auto"/>
              <w:right w:val="single" w:sz="4" w:space="0" w:color="auto"/>
            </w:tcBorders>
            <w:vAlign w:val="center"/>
          </w:tcPr>
          <w:p w:rsidR="00877914" w:rsidRPr="00877914" w:rsidRDefault="00877914" w:rsidP="00877914">
            <w:pPr>
              <w:ind w:firstLine="0"/>
              <w:contextualSpacing/>
              <w:jc w:val="left"/>
              <w:rPr>
                <w:sz w:val="22"/>
                <w:szCs w:val="22"/>
              </w:rPr>
            </w:pPr>
            <w:r w:rsidRPr="00877914">
              <w:rPr>
                <w:sz w:val="22"/>
                <w:szCs w:val="22"/>
              </w:rPr>
              <w:t>Манжета Импорт универсальная 22-36см</w:t>
            </w:r>
          </w:p>
        </w:tc>
        <w:tc>
          <w:tcPr>
            <w:tcW w:w="992" w:type="dxa"/>
            <w:tcBorders>
              <w:top w:val="single" w:sz="4" w:space="0" w:color="auto"/>
              <w:left w:val="single" w:sz="4" w:space="0" w:color="auto"/>
              <w:bottom w:val="single" w:sz="4" w:space="0" w:color="auto"/>
              <w:right w:val="single" w:sz="4" w:space="0" w:color="auto"/>
            </w:tcBorders>
            <w:vAlign w:val="center"/>
          </w:tcPr>
          <w:p w:rsidR="00877914" w:rsidRPr="00C220F7" w:rsidRDefault="00877914" w:rsidP="00877914">
            <w:pPr>
              <w:ind w:firstLine="0"/>
              <w:contextualSpacing/>
              <w:jc w:val="center"/>
              <w:rPr>
                <w:sz w:val="20"/>
              </w:rPr>
            </w:pPr>
            <w:r w:rsidRPr="00C220F7">
              <w:rPr>
                <w:sz w:val="20"/>
              </w:rPr>
              <w:t>6</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877914" w:rsidRPr="00877914">
        <w:rPr>
          <w:b/>
          <w:color w:val="000000"/>
          <w:szCs w:val="24"/>
        </w:rPr>
        <w:t xml:space="preserve">оказание </w:t>
      </w:r>
      <w:r w:rsidR="00877914" w:rsidRPr="00877914">
        <w:rPr>
          <w:rFonts w:eastAsia="Calibri"/>
          <w:b/>
          <w:szCs w:val="24"/>
        </w:rPr>
        <w:t>услуг</w:t>
      </w:r>
      <w:r w:rsidR="00877914" w:rsidRPr="00BB1C24">
        <w:rPr>
          <w:rFonts w:eastAsia="Calibri"/>
          <w:szCs w:val="24"/>
        </w:rPr>
        <w:t xml:space="preserve"> </w:t>
      </w:r>
      <w:r w:rsidR="00877914" w:rsidRPr="00877914">
        <w:rPr>
          <w:rFonts w:eastAsia="Calibri"/>
          <w:b/>
          <w:szCs w:val="24"/>
        </w:rPr>
        <w:t xml:space="preserve">(техническое обслуживание и </w:t>
      </w:r>
      <w:r w:rsidR="00877914" w:rsidRPr="00877914">
        <w:rPr>
          <w:b/>
          <w:bCs/>
          <w:color w:val="000000"/>
          <w:szCs w:val="24"/>
        </w:rPr>
        <w:t>ремонт медицинской техники)</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A337E4"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A337E4">
        <w:rPr>
          <w:rFonts w:ascii="Times New Roman" w:hAnsi="Times New Roman" w:cs="Times New Roman"/>
          <w:b/>
          <w:sz w:val="24"/>
          <w:szCs w:val="24"/>
        </w:rPr>
        <w:t xml:space="preserve">6. Начальная/Максимальная </w:t>
      </w:r>
      <w:r w:rsidR="00656C8B" w:rsidRPr="00A337E4">
        <w:rPr>
          <w:rFonts w:ascii="Times New Roman" w:hAnsi="Times New Roman" w:cs="Times New Roman"/>
          <w:b/>
          <w:sz w:val="24"/>
          <w:szCs w:val="24"/>
        </w:rPr>
        <w:t>цена договора</w:t>
      </w:r>
      <w:r w:rsidR="00F70AF7" w:rsidRPr="00A337E4">
        <w:rPr>
          <w:rFonts w:ascii="Times New Roman" w:hAnsi="Times New Roman" w:cs="Times New Roman"/>
          <w:b/>
          <w:sz w:val="24"/>
          <w:szCs w:val="24"/>
        </w:rPr>
        <w:t>:</w:t>
      </w:r>
      <w:r w:rsidR="00FE5769" w:rsidRPr="00A337E4">
        <w:rPr>
          <w:rFonts w:ascii="Times New Roman" w:hAnsi="Times New Roman" w:cs="Times New Roman"/>
          <w:b/>
          <w:sz w:val="24"/>
          <w:szCs w:val="24"/>
        </w:rPr>
        <w:t xml:space="preserve"> </w:t>
      </w:r>
      <w:r w:rsidR="00877914" w:rsidRPr="00821A02">
        <w:rPr>
          <w:rFonts w:ascii="Times New Roman" w:hAnsi="Times New Roman" w:cs="Times New Roman"/>
          <w:b/>
          <w:bCs/>
          <w:sz w:val="24"/>
          <w:szCs w:val="24"/>
          <w:shd w:val="clear" w:color="auto" w:fill="FFFFFF"/>
        </w:rPr>
        <w:t>18126</w:t>
      </w:r>
      <w:r w:rsidR="00877914" w:rsidRPr="00821A02">
        <w:rPr>
          <w:rFonts w:ascii="Times New Roman" w:hAnsi="Times New Roman" w:cs="Times New Roman"/>
          <w:b/>
          <w:sz w:val="24"/>
          <w:szCs w:val="24"/>
          <w:shd w:val="clear" w:color="auto" w:fill="FFFFFF"/>
        </w:rPr>
        <w:t> (восемнадцать тысяч сто двадцать шесть) рублей – 67 копеек.</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lastRenderedPageBreak/>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A337E4">
        <w:rPr>
          <w:color w:val="000000"/>
          <w:szCs w:val="24"/>
        </w:rPr>
        <w:t>0</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A337E4">
        <w:rPr>
          <w:b/>
          <w:szCs w:val="24"/>
        </w:rPr>
        <w:t>22</w:t>
      </w:r>
      <w:r w:rsidR="0038494A" w:rsidRPr="003662C1">
        <w:rPr>
          <w:b/>
          <w:szCs w:val="24"/>
        </w:rPr>
        <w:t>.</w:t>
      </w:r>
      <w:r w:rsidR="00FE5769">
        <w:rPr>
          <w:b/>
          <w:szCs w:val="24"/>
        </w:rPr>
        <w:t>1</w:t>
      </w:r>
      <w:r w:rsidR="00A337E4">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405150">
        <w:rPr>
          <w:b/>
          <w:szCs w:val="24"/>
        </w:rPr>
        <w:t>00</w:t>
      </w:r>
      <w:r w:rsidR="00093916" w:rsidRPr="003662C1">
        <w:rPr>
          <w:b/>
          <w:szCs w:val="24"/>
        </w:rPr>
        <w:t xml:space="preserve"> </w:t>
      </w:r>
      <w:r w:rsidR="00405150">
        <w:rPr>
          <w:b/>
          <w:szCs w:val="24"/>
        </w:rPr>
        <w:t>30</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405150">
        <w:rPr>
          <w:b/>
          <w:szCs w:val="24"/>
        </w:rPr>
        <w:t>0</w:t>
      </w:r>
      <w:r w:rsidR="0050563C">
        <w:rPr>
          <w:b/>
          <w:szCs w:val="24"/>
        </w:rPr>
        <w:t>0</w:t>
      </w:r>
      <w:r w:rsidR="00093916" w:rsidRPr="003662C1">
        <w:rPr>
          <w:b/>
          <w:szCs w:val="24"/>
        </w:rPr>
        <w:t xml:space="preserve"> </w:t>
      </w:r>
      <w:r w:rsidR="00405150">
        <w:rPr>
          <w:b/>
          <w:szCs w:val="24"/>
        </w:rPr>
        <w:t>30</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lastRenderedPageBreak/>
        <w:t>Дата, время и место рассмотрения заявок котировочных заявок: в 1</w:t>
      </w:r>
      <w:r w:rsidR="008158B6">
        <w:rPr>
          <w:b/>
          <w:szCs w:val="24"/>
        </w:rPr>
        <w:t>1</w:t>
      </w:r>
      <w:r w:rsidR="0031489B" w:rsidRPr="003662C1">
        <w:rPr>
          <w:b/>
          <w:szCs w:val="24"/>
        </w:rPr>
        <w:t>.</w:t>
      </w:r>
      <w:r w:rsidR="00405150">
        <w:rPr>
          <w:b/>
          <w:szCs w:val="24"/>
        </w:rPr>
        <w:t>0</w:t>
      </w:r>
      <w:r w:rsidR="003359FA">
        <w:rPr>
          <w:b/>
          <w:szCs w:val="24"/>
        </w:rPr>
        <w:t>0</w:t>
      </w:r>
      <w:r w:rsidRPr="003662C1">
        <w:rPr>
          <w:b/>
          <w:szCs w:val="24"/>
        </w:rPr>
        <w:t xml:space="preserve"> часов </w:t>
      </w:r>
      <w:r w:rsidR="00405150">
        <w:rPr>
          <w:b/>
          <w:szCs w:val="24"/>
        </w:rPr>
        <w:t>30</w:t>
      </w:r>
      <w:r w:rsidR="00D915E0" w:rsidRPr="003662C1">
        <w:rPr>
          <w:b/>
          <w:szCs w:val="24"/>
        </w:rPr>
        <w:t>.</w:t>
      </w:r>
      <w:r w:rsidR="00C02577">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 xml:space="preserve">2) при предложении в заявке цены товаров, работ, услуг выше начальной </w:t>
      </w:r>
      <w:r w:rsidRPr="003662C1">
        <w:rPr>
          <w:szCs w:val="24"/>
        </w:rPr>
        <w:lastRenderedPageBreak/>
        <w:t>(максимальной)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A337E4">
        <w:rPr>
          <w:b/>
          <w:szCs w:val="24"/>
        </w:rPr>
        <w:t>22</w:t>
      </w:r>
      <w:r w:rsidR="0038494A" w:rsidRPr="003662C1">
        <w:rPr>
          <w:b/>
          <w:szCs w:val="24"/>
        </w:rPr>
        <w:t>.</w:t>
      </w:r>
      <w:r w:rsidR="00A337E4">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405150">
        <w:rPr>
          <w:b/>
          <w:szCs w:val="24"/>
        </w:rPr>
        <w:t>30</w:t>
      </w:r>
      <w:r w:rsidR="00FA584F" w:rsidRPr="003662C1">
        <w:rPr>
          <w:b/>
          <w:szCs w:val="24"/>
        </w:rPr>
        <w:t>.</w:t>
      </w:r>
      <w:r w:rsidR="00901614">
        <w:rPr>
          <w:b/>
          <w:szCs w:val="24"/>
        </w:rPr>
        <w:t>1</w:t>
      </w:r>
      <w:r w:rsidR="00943370">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3662C1">
        <w:rPr>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w:t>
      </w:r>
      <w:r w:rsidRPr="003662C1">
        <w:lastRenderedPageBreak/>
        <w:t>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w:t>
      </w:r>
      <w:r w:rsidR="0069760D" w:rsidRPr="00877914">
        <w:rPr>
          <w:b/>
          <w:color w:val="000000"/>
          <w:szCs w:val="24"/>
        </w:rPr>
        <w:t xml:space="preserve">оказание </w:t>
      </w:r>
      <w:r w:rsidR="0069760D" w:rsidRPr="00877914">
        <w:rPr>
          <w:rFonts w:eastAsia="Calibri"/>
          <w:b/>
          <w:szCs w:val="24"/>
        </w:rPr>
        <w:t>услуг</w:t>
      </w:r>
      <w:r w:rsidR="0069760D" w:rsidRPr="00BB1C24">
        <w:rPr>
          <w:rFonts w:eastAsia="Calibri"/>
          <w:szCs w:val="24"/>
        </w:rPr>
        <w:t xml:space="preserve"> </w:t>
      </w:r>
      <w:r w:rsidR="0069760D" w:rsidRPr="00877914">
        <w:rPr>
          <w:rFonts w:eastAsia="Calibri"/>
          <w:b/>
          <w:szCs w:val="24"/>
        </w:rPr>
        <w:t xml:space="preserve">(техническое обслуживание и </w:t>
      </w:r>
      <w:r w:rsidR="0069760D" w:rsidRPr="00877914">
        <w:rPr>
          <w:b/>
          <w:bCs/>
          <w:color w:val="000000"/>
          <w:szCs w:val="24"/>
        </w:rPr>
        <w:t>ремонт медицинской техники)</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405150">
        <w:rPr>
          <w:b/>
          <w:szCs w:val="24"/>
        </w:rPr>
        <w:t>138</w:t>
      </w:r>
      <w:bookmarkStart w:id="0" w:name="_GoBack"/>
      <w:bookmarkEnd w:id="0"/>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640" w:type="dxa"/>
        <w:tblInd w:w="-289" w:type="dxa"/>
        <w:tblLook w:val="01E0" w:firstRow="1" w:lastRow="1" w:firstColumn="1" w:lastColumn="1" w:noHBand="0" w:noVBand="0"/>
      </w:tblPr>
      <w:tblGrid>
        <w:gridCol w:w="851"/>
        <w:gridCol w:w="3545"/>
        <w:gridCol w:w="4252"/>
        <w:gridCol w:w="992"/>
      </w:tblGrid>
      <w:tr w:rsidR="0069760D" w:rsidRPr="00A337E4" w:rsidTr="0069760D">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69760D" w:rsidRPr="00A337E4" w:rsidRDefault="0069760D" w:rsidP="00AA28DE">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A337E4" w:rsidRDefault="0069760D" w:rsidP="00AA28DE">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A337E4" w:rsidRDefault="0069760D" w:rsidP="00AA28DE">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A337E4" w:rsidRDefault="0069760D" w:rsidP="00AA28DE">
            <w:pPr>
              <w:ind w:firstLine="0"/>
              <w:contextualSpacing/>
              <w:rPr>
                <w:rFonts w:eastAsia="Calibri"/>
                <w:b/>
                <w:szCs w:val="24"/>
              </w:rPr>
            </w:pPr>
            <w:r w:rsidRPr="00A337E4">
              <w:rPr>
                <w:rFonts w:eastAsia="Calibri"/>
                <w:b/>
                <w:szCs w:val="24"/>
              </w:rPr>
              <w:t>Кол-во</w:t>
            </w:r>
          </w:p>
        </w:tc>
      </w:tr>
      <w:tr w:rsidR="0069760D" w:rsidRPr="00A337E4" w:rsidTr="0069760D">
        <w:tc>
          <w:tcPr>
            <w:tcW w:w="851"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spacing w:before="300" w:after="300" w:line="200" w:lineRule="atLeast"/>
              <w:ind w:firstLine="0"/>
              <w:jc w:val="center"/>
              <w:rPr>
                <w:sz w:val="22"/>
                <w:szCs w:val="22"/>
              </w:rPr>
            </w:pPr>
            <w:r w:rsidRPr="00877914">
              <w:rPr>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Стерилизатор паровой ГК-100-3м</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Замена прокладки ЦТ.129.02.004</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C220F7" w:rsidRDefault="0069760D" w:rsidP="00AA28DE">
            <w:pPr>
              <w:ind w:firstLine="0"/>
              <w:contextualSpacing/>
              <w:jc w:val="center"/>
              <w:rPr>
                <w:sz w:val="20"/>
              </w:rPr>
            </w:pPr>
            <w:r w:rsidRPr="00C220F7">
              <w:rPr>
                <w:sz w:val="20"/>
              </w:rPr>
              <w:t>2</w:t>
            </w:r>
          </w:p>
        </w:tc>
      </w:tr>
      <w:tr w:rsidR="0069760D" w:rsidRPr="00A337E4" w:rsidTr="0069760D">
        <w:tc>
          <w:tcPr>
            <w:tcW w:w="851"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spacing w:before="300" w:after="300" w:line="200" w:lineRule="atLeast"/>
              <w:ind w:firstLine="0"/>
              <w:jc w:val="center"/>
              <w:rPr>
                <w:sz w:val="22"/>
                <w:szCs w:val="22"/>
              </w:rPr>
            </w:pPr>
            <w:r w:rsidRPr="00877914">
              <w:rPr>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Стерилизатор паровой ГК-100-3м</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Замена прокладки ЦТ.129.02.004 + Замена датчика уровня воды АГ 100.02.060</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C220F7" w:rsidRDefault="0069760D" w:rsidP="00AA28DE">
            <w:pPr>
              <w:ind w:firstLine="0"/>
              <w:contextualSpacing/>
              <w:jc w:val="center"/>
              <w:rPr>
                <w:sz w:val="20"/>
              </w:rPr>
            </w:pPr>
            <w:r w:rsidRPr="00C220F7">
              <w:rPr>
                <w:sz w:val="20"/>
              </w:rPr>
              <w:t>1</w:t>
            </w:r>
          </w:p>
        </w:tc>
      </w:tr>
      <w:tr w:rsidR="0069760D" w:rsidRPr="00A337E4" w:rsidTr="0069760D">
        <w:tc>
          <w:tcPr>
            <w:tcW w:w="851"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spacing w:before="300" w:after="300" w:line="200" w:lineRule="atLeast"/>
              <w:ind w:firstLine="0"/>
              <w:jc w:val="center"/>
              <w:rPr>
                <w:sz w:val="22"/>
                <w:szCs w:val="22"/>
              </w:rPr>
            </w:pPr>
            <w:r w:rsidRPr="00877914">
              <w:rPr>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Сухожаровой шкаф ГП-40</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lang w:val="en-US"/>
              </w:rPr>
            </w:pPr>
            <w:r w:rsidRPr="00877914">
              <w:rPr>
                <w:sz w:val="22"/>
                <w:szCs w:val="22"/>
              </w:rPr>
              <w:t xml:space="preserve">Замена выключателя </w:t>
            </w:r>
            <w:r w:rsidRPr="00877914">
              <w:rPr>
                <w:sz w:val="22"/>
                <w:szCs w:val="22"/>
                <w:lang w:val="en-US"/>
              </w:rPr>
              <w:t>XW604</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C220F7" w:rsidRDefault="0069760D" w:rsidP="00AA28DE">
            <w:pPr>
              <w:ind w:firstLine="0"/>
              <w:contextualSpacing/>
              <w:jc w:val="center"/>
              <w:rPr>
                <w:sz w:val="20"/>
              </w:rPr>
            </w:pPr>
            <w:r w:rsidRPr="00C220F7">
              <w:rPr>
                <w:sz w:val="20"/>
              </w:rPr>
              <w:t>1</w:t>
            </w:r>
          </w:p>
        </w:tc>
      </w:tr>
      <w:tr w:rsidR="0069760D" w:rsidRPr="00A337E4" w:rsidTr="0069760D">
        <w:tc>
          <w:tcPr>
            <w:tcW w:w="851"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spacing w:before="300" w:after="300" w:line="200" w:lineRule="atLeast"/>
              <w:ind w:firstLine="0"/>
              <w:jc w:val="center"/>
              <w:rPr>
                <w:sz w:val="22"/>
                <w:szCs w:val="22"/>
              </w:rPr>
            </w:pPr>
            <w:r w:rsidRPr="00877914">
              <w:rPr>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Каталка медицинская</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 xml:space="preserve">Колесная опора аппаратная поворотная полиуретановое покрытие полипропиленовый обод крепление под </w:t>
            </w:r>
            <w:r w:rsidRPr="00877914">
              <w:rPr>
                <w:sz w:val="22"/>
                <w:szCs w:val="22"/>
              </w:rPr>
              <w:lastRenderedPageBreak/>
              <w:t>болт роликоподшипник диаметр 200мм</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C220F7" w:rsidRDefault="0069760D" w:rsidP="00AA28DE">
            <w:pPr>
              <w:ind w:firstLine="0"/>
              <w:contextualSpacing/>
              <w:jc w:val="center"/>
              <w:rPr>
                <w:sz w:val="20"/>
              </w:rPr>
            </w:pPr>
            <w:r w:rsidRPr="00C220F7">
              <w:rPr>
                <w:sz w:val="20"/>
              </w:rPr>
              <w:lastRenderedPageBreak/>
              <w:t>2</w:t>
            </w:r>
          </w:p>
        </w:tc>
      </w:tr>
      <w:tr w:rsidR="0069760D" w:rsidRPr="00A337E4" w:rsidTr="0069760D">
        <w:tc>
          <w:tcPr>
            <w:tcW w:w="851"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spacing w:before="300" w:after="300" w:line="200" w:lineRule="atLeast"/>
              <w:ind w:firstLine="0"/>
              <w:jc w:val="center"/>
              <w:rPr>
                <w:sz w:val="22"/>
                <w:szCs w:val="22"/>
              </w:rPr>
            </w:pPr>
            <w:r w:rsidRPr="00877914">
              <w:rPr>
                <w:sz w:val="22"/>
                <w:szCs w:val="22"/>
              </w:rPr>
              <w:t>5</w:t>
            </w:r>
          </w:p>
        </w:tc>
        <w:tc>
          <w:tcPr>
            <w:tcW w:w="3545"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Манжета Импорт универсальная 22-36см</w:t>
            </w:r>
          </w:p>
        </w:tc>
        <w:tc>
          <w:tcPr>
            <w:tcW w:w="4252" w:type="dxa"/>
            <w:tcBorders>
              <w:top w:val="single" w:sz="4" w:space="0" w:color="auto"/>
              <w:left w:val="single" w:sz="4" w:space="0" w:color="auto"/>
              <w:bottom w:val="single" w:sz="4" w:space="0" w:color="auto"/>
              <w:right w:val="single" w:sz="4" w:space="0" w:color="auto"/>
            </w:tcBorders>
            <w:vAlign w:val="center"/>
          </w:tcPr>
          <w:p w:rsidR="0069760D" w:rsidRPr="00877914" w:rsidRDefault="0069760D" w:rsidP="00AA28DE">
            <w:pPr>
              <w:ind w:firstLine="0"/>
              <w:contextualSpacing/>
              <w:jc w:val="left"/>
              <w:rPr>
                <w:sz w:val="22"/>
                <w:szCs w:val="22"/>
              </w:rPr>
            </w:pPr>
            <w:r w:rsidRPr="00877914">
              <w:rPr>
                <w:sz w:val="22"/>
                <w:szCs w:val="22"/>
              </w:rPr>
              <w:t>Манжета Импорт универсальная 22-36см</w:t>
            </w:r>
          </w:p>
        </w:tc>
        <w:tc>
          <w:tcPr>
            <w:tcW w:w="992" w:type="dxa"/>
            <w:tcBorders>
              <w:top w:val="single" w:sz="4" w:space="0" w:color="auto"/>
              <w:left w:val="single" w:sz="4" w:space="0" w:color="auto"/>
              <w:bottom w:val="single" w:sz="4" w:space="0" w:color="auto"/>
              <w:right w:val="single" w:sz="4" w:space="0" w:color="auto"/>
            </w:tcBorders>
            <w:vAlign w:val="center"/>
          </w:tcPr>
          <w:p w:rsidR="0069760D" w:rsidRPr="00C220F7" w:rsidRDefault="0069760D" w:rsidP="00AA28DE">
            <w:pPr>
              <w:ind w:firstLine="0"/>
              <w:contextualSpacing/>
              <w:jc w:val="center"/>
              <w:rPr>
                <w:sz w:val="20"/>
              </w:rPr>
            </w:pPr>
            <w:r w:rsidRPr="00C220F7">
              <w:rPr>
                <w:sz w:val="20"/>
              </w:rPr>
              <w:t>6</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w:t>
      </w:r>
      <w:r w:rsidRPr="003662C1">
        <w:rPr>
          <w:rFonts w:ascii="Times New Roman" w:hAnsi="Times New Roman"/>
          <w:sz w:val="24"/>
          <w:szCs w:val="24"/>
        </w:rPr>
        <w:lastRenderedPageBreak/>
        <w:t>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5150"/>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9760D"/>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77914"/>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142E3"/>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2020-06-17T11:52:00Z</cp:lastPrinted>
  <dcterms:created xsi:type="dcterms:W3CDTF">2022-11-20T14:19:00Z</dcterms:created>
  <dcterms:modified xsi:type="dcterms:W3CDTF">2022-11-21T11:42:00Z</dcterms:modified>
</cp:coreProperties>
</file>