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970B7">
        <w:rPr>
          <w:b/>
          <w:sz w:val="22"/>
          <w:szCs w:val="22"/>
        </w:rPr>
        <w:t>9</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97473F">
        <w:rPr>
          <w:b/>
          <w:szCs w:val="24"/>
        </w:rPr>
        <w:t>товаров медицинского назначения</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2970B7" w:rsidRDefault="00C24222" w:rsidP="002970B7">
      <w:pPr>
        <w:widowControl/>
        <w:spacing w:before="0" w:after="120"/>
        <w:ind w:firstLine="0"/>
        <w:contextualSpacing/>
        <w:jc w:val="left"/>
        <w:rPr>
          <w:szCs w:val="24"/>
        </w:rPr>
      </w:pPr>
      <w:r w:rsidRPr="00A0051E">
        <w:rPr>
          <w:b/>
          <w:szCs w:val="24"/>
        </w:rPr>
        <w:t xml:space="preserve"> </w:t>
      </w:r>
      <w:r w:rsidR="00BA066C" w:rsidRPr="00670D7B">
        <w:rPr>
          <w:b/>
          <w:szCs w:val="24"/>
        </w:rPr>
        <w:t>4. К</w:t>
      </w:r>
      <w:r w:rsidR="00670D7B">
        <w:rPr>
          <w:b/>
          <w:szCs w:val="24"/>
        </w:rPr>
        <w:t xml:space="preserve">онтактные </w:t>
      </w:r>
      <w:r w:rsidR="002970B7">
        <w:rPr>
          <w:b/>
          <w:szCs w:val="24"/>
        </w:rPr>
        <w:t xml:space="preserve">лица: </w:t>
      </w:r>
      <w:r w:rsidR="002970B7" w:rsidRPr="002970B7">
        <w:rPr>
          <w:szCs w:val="24"/>
        </w:rPr>
        <w:t>главная</w:t>
      </w:r>
      <w:r w:rsidR="002970B7">
        <w:rPr>
          <w:szCs w:val="24"/>
        </w:rPr>
        <w:t xml:space="preserve"> медицинская сестра</w:t>
      </w:r>
      <w:r w:rsidR="00BA066C" w:rsidRPr="00670D7B">
        <w:rPr>
          <w:szCs w:val="24"/>
        </w:rPr>
        <w:t xml:space="preserve"> </w:t>
      </w:r>
      <w:r w:rsidR="002970B7" w:rsidRPr="002970B7">
        <w:rPr>
          <w:szCs w:val="24"/>
        </w:rPr>
        <w:t xml:space="preserve">Архангельская Галина Игоревна, </w:t>
      </w:r>
    </w:p>
    <w:p w:rsidR="00BA066C" w:rsidRDefault="002970B7" w:rsidP="002970B7">
      <w:pPr>
        <w:widowControl/>
        <w:spacing w:before="0" w:after="120"/>
        <w:ind w:firstLine="0"/>
        <w:contextualSpacing/>
        <w:jc w:val="left"/>
        <w:rPr>
          <w:b/>
          <w:color w:val="002060"/>
          <w:szCs w:val="24"/>
          <w:lang w:val="en-US"/>
        </w:rPr>
      </w:pPr>
      <w:r w:rsidRPr="002970B7">
        <w:rPr>
          <w:szCs w:val="24"/>
        </w:rPr>
        <w:t>тел</w:t>
      </w:r>
      <w:r w:rsidRPr="002970B7">
        <w:rPr>
          <w:szCs w:val="24"/>
          <w:lang w:val="en-US"/>
        </w:rPr>
        <w:t xml:space="preserve">.: 8-953-325-65-40, E-mail: </w:t>
      </w:r>
      <w:hyperlink r:id="rId9" w:history="1">
        <w:r w:rsidRPr="002970B7">
          <w:rPr>
            <w:rStyle w:val="afb"/>
            <w:szCs w:val="24"/>
            <w:lang w:val="en-US"/>
          </w:rPr>
          <w:t>oapashanina@rzdklinik40.ru</w:t>
        </w:r>
      </w:hyperlink>
    </w:p>
    <w:p w:rsidR="002970B7" w:rsidRPr="002970B7" w:rsidRDefault="002970B7" w:rsidP="002970B7">
      <w:pPr>
        <w:widowControl/>
        <w:spacing w:before="0" w:after="120"/>
        <w:ind w:firstLine="0"/>
        <w:contextualSpacing/>
        <w:jc w:val="left"/>
        <w:rPr>
          <w:b/>
          <w:snapToGrid w:val="0"/>
          <w:color w:val="000000"/>
          <w:szCs w:val="24"/>
          <w:lang w:val="en-US"/>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97473F" w:rsidRPr="0097473F">
        <w:rPr>
          <w:snapToGrid w:val="0"/>
          <w:color w:val="000000"/>
          <w:szCs w:val="24"/>
        </w:rPr>
        <w:t>товаров медицинского назначения</w:t>
      </w:r>
      <w:r w:rsidR="0097473F">
        <w:rPr>
          <w:snapToGrid w:val="0"/>
          <w:color w:val="000000"/>
          <w:szCs w:val="24"/>
        </w:rPr>
        <w:t xml:space="preserve">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5670"/>
        <w:gridCol w:w="1701"/>
      </w:tblGrid>
      <w:tr w:rsidR="002970B7" w:rsidRPr="002970B7" w:rsidTr="002970B7">
        <w:trPr>
          <w:trHeight w:val="309"/>
        </w:trPr>
        <w:tc>
          <w:tcPr>
            <w:tcW w:w="567" w:type="dxa"/>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w:t>
            </w:r>
          </w:p>
        </w:tc>
        <w:tc>
          <w:tcPr>
            <w:tcW w:w="1276" w:type="dxa"/>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Артикул</w:t>
            </w:r>
          </w:p>
        </w:tc>
        <w:tc>
          <w:tcPr>
            <w:tcW w:w="5670" w:type="dxa"/>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 xml:space="preserve">Наименование. </w:t>
            </w:r>
          </w:p>
        </w:tc>
        <w:tc>
          <w:tcPr>
            <w:tcW w:w="1701" w:type="dxa"/>
          </w:tcPr>
          <w:p w:rsidR="002970B7" w:rsidRPr="002970B7" w:rsidRDefault="002970B7" w:rsidP="002970B7">
            <w:pPr>
              <w:widowControl/>
              <w:spacing w:before="0"/>
              <w:ind w:firstLine="0"/>
              <w:contextualSpacing/>
              <w:rPr>
                <w:color w:val="000000"/>
                <w:sz w:val="22"/>
                <w:szCs w:val="22"/>
              </w:rPr>
            </w:pPr>
            <w:r>
              <w:rPr>
                <w:color w:val="000000"/>
                <w:sz w:val="22"/>
                <w:szCs w:val="22"/>
              </w:rPr>
              <w:t>Количество</w:t>
            </w:r>
          </w:p>
        </w:tc>
      </w:tr>
      <w:tr w:rsidR="002970B7" w:rsidRPr="002970B7" w:rsidTr="002970B7">
        <w:trPr>
          <w:trHeight w:val="309"/>
        </w:trPr>
        <w:tc>
          <w:tcPr>
            <w:tcW w:w="567" w:type="dxa"/>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1</w:t>
            </w:r>
          </w:p>
        </w:tc>
        <w:tc>
          <w:tcPr>
            <w:tcW w:w="1276" w:type="dxa"/>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27805</w:t>
            </w:r>
          </w:p>
        </w:tc>
        <w:tc>
          <w:tcPr>
            <w:tcW w:w="5670" w:type="dxa"/>
            <w:vAlign w:val="center"/>
          </w:tcPr>
          <w:p w:rsidR="002970B7" w:rsidRPr="002970B7" w:rsidRDefault="002970B7" w:rsidP="002970B7">
            <w:pPr>
              <w:widowControl/>
              <w:spacing w:before="0"/>
              <w:ind w:firstLine="0"/>
              <w:contextualSpacing/>
              <w:rPr>
                <w:color w:val="000000"/>
                <w:sz w:val="22"/>
                <w:szCs w:val="22"/>
              </w:rPr>
            </w:pPr>
            <w:r w:rsidRPr="002970B7">
              <w:rPr>
                <w:color w:val="000000"/>
                <w:sz w:val="22"/>
                <w:szCs w:val="22"/>
              </w:rPr>
              <w:t xml:space="preserve">Электрод нейтральный, из силикона, с 2-мя резиновыми ремнями для фиксации, A= 500 </w:t>
            </w:r>
            <w:proofErr w:type="spellStart"/>
            <w:proofErr w:type="gramStart"/>
            <w:r w:rsidRPr="002970B7">
              <w:rPr>
                <w:color w:val="000000"/>
                <w:sz w:val="22"/>
                <w:szCs w:val="22"/>
              </w:rPr>
              <w:t>cm</w:t>
            </w:r>
            <w:proofErr w:type="spellEnd"/>
            <w:r w:rsidRPr="002970B7">
              <w:rPr>
                <w:color w:val="000000"/>
                <w:sz w:val="22"/>
                <w:szCs w:val="22"/>
              </w:rPr>
              <w:t>?,</w:t>
            </w:r>
            <w:proofErr w:type="gramEnd"/>
            <w:r w:rsidRPr="002970B7">
              <w:rPr>
                <w:color w:val="000000"/>
                <w:sz w:val="22"/>
                <w:szCs w:val="22"/>
              </w:rPr>
              <w:t xml:space="preserve"> используется с KARL STORZ AUTOCON (</w:t>
            </w:r>
            <w:proofErr w:type="spellStart"/>
            <w:r w:rsidRPr="002970B7">
              <w:rPr>
                <w:color w:val="000000"/>
                <w:sz w:val="22"/>
                <w:szCs w:val="22"/>
              </w:rPr>
              <w:t>type</w:t>
            </w:r>
            <w:proofErr w:type="spellEnd"/>
            <w:r w:rsidRPr="002970B7">
              <w:rPr>
                <w:color w:val="000000"/>
                <w:sz w:val="22"/>
                <w:szCs w:val="22"/>
              </w:rPr>
              <w:t xml:space="preserve"> 200, 350), AUTOCON II 400 (</w:t>
            </w:r>
            <w:proofErr w:type="spellStart"/>
            <w:r w:rsidRPr="002970B7">
              <w:rPr>
                <w:color w:val="000000"/>
                <w:sz w:val="22"/>
                <w:szCs w:val="22"/>
              </w:rPr>
              <w:t>type</w:t>
            </w:r>
            <w:proofErr w:type="spellEnd"/>
            <w:r w:rsidRPr="002970B7">
              <w:rPr>
                <w:color w:val="000000"/>
                <w:sz w:val="22"/>
                <w:szCs w:val="22"/>
              </w:rPr>
              <w:t xml:space="preserve"> 111, 115) и AUTOCON® III 400/ AUTOCON® III 300 (Нужен кабель 27806UR)</w:t>
            </w:r>
          </w:p>
        </w:tc>
        <w:tc>
          <w:tcPr>
            <w:tcW w:w="1701" w:type="dxa"/>
          </w:tcPr>
          <w:p w:rsidR="002970B7" w:rsidRPr="002970B7" w:rsidRDefault="002970B7" w:rsidP="002970B7">
            <w:pPr>
              <w:widowControl/>
              <w:spacing w:before="0"/>
              <w:ind w:firstLine="0"/>
              <w:contextualSpacing/>
              <w:jc w:val="center"/>
              <w:rPr>
                <w:color w:val="000000"/>
                <w:sz w:val="22"/>
                <w:szCs w:val="22"/>
              </w:rPr>
            </w:pPr>
            <w:r w:rsidRPr="002970B7">
              <w:rPr>
                <w:color w:val="000000"/>
                <w:sz w:val="22"/>
                <w:szCs w:val="22"/>
              </w:rPr>
              <w:t>3</w:t>
            </w:r>
            <w:r>
              <w:rPr>
                <w:color w:val="000000"/>
                <w:sz w:val="22"/>
                <w:szCs w:val="22"/>
              </w:rPr>
              <w:t xml:space="preserve"> шт.</w:t>
            </w:r>
          </w:p>
        </w:tc>
      </w:tr>
    </w:tbl>
    <w:p w:rsidR="0097473F" w:rsidRPr="0097473F" w:rsidRDefault="0097473F" w:rsidP="0097473F">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B80B23">
        <w:rPr>
          <w:b/>
          <w:sz w:val="22"/>
          <w:szCs w:val="22"/>
        </w:rPr>
        <w:t>97 240</w:t>
      </w:r>
      <w:r w:rsidR="005233D9" w:rsidRPr="00F37B86">
        <w:rPr>
          <w:b/>
          <w:sz w:val="22"/>
          <w:szCs w:val="22"/>
        </w:rPr>
        <w:t xml:space="preserve"> руб.</w:t>
      </w:r>
      <w:r w:rsidR="00B80B23">
        <w:rPr>
          <w:b/>
          <w:sz w:val="22"/>
          <w:szCs w:val="22"/>
        </w:rPr>
        <w:t xml:space="preserve"> 00 </w:t>
      </w:r>
      <w:r w:rsidR="00A0051E">
        <w:rPr>
          <w:b/>
          <w:sz w:val="22"/>
          <w:szCs w:val="22"/>
        </w:rPr>
        <w:t>коп.</w:t>
      </w:r>
      <w:r w:rsidRPr="00C40BB6">
        <w:rPr>
          <w:sz w:val="22"/>
          <w:szCs w:val="22"/>
        </w:rPr>
        <w:t xml:space="preserve"> (</w:t>
      </w:r>
      <w:r w:rsidR="00B80B23">
        <w:rPr>
          <w:b/>
          <w:sz w:val="22"/>
          <w:szCs w:val="22"/>
        </w:rPr>
        <w:t>Девяносто семь тысяч</w:t>
      </w:r>
      <w:r w:rsidR="005233D9" w:rsidRPr="00A0051E">
        <w:rPr>
          <w:b/>
          <w:sz w:val="22"/>
          <w:szCs w:val="22"/>
        </w:rPr>
        <w:t xml:space="preserve"> </w:t>
      </w:r>
      <w:r w:rsidR="00EA17DB">
        <w:rPr>
          <w:b/>
          <w:sz w:val="22"/>
          <w:szCs w:val="22"/>
        </w:rPr>
        <w:t xml:space="preserve">двести </w:t>
      </w:r>
      <w:r w:rsidR="00B80B23">
        <w:rPr>
          <w:b/>
          <w:sz w:val="22"/>
          <w:szCs w:val="22"/>
        </w:rPr>
        <w:t>сорок</w:t>
      </w:r>
      <w:r w:rsidR="0074039F" w:rsidRPr="00A0051E">
        <w:rPr>
          <w:b/>
          <w:sz w:val="22"/>
          <w:szCs w:val="22"/>
        </w:rPr>
        <w:t xml:space="preserve"> руб.</w:t>
      </w:r>
      <w:r w:rsidR="00B80B23">
        <w:rPr>
          <w:b/>
          <w:sz w:val="22"/>
          <w:szCs w:val="22"/>
        </w:rPr>
        <w:t xml:space="preserve"> 00</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w:t>
      </w:r>
      <w:r w:rsidRPr="00BA066C">
        <w:rPr>
          <w:color w:val="000000"/>
          <w:sz w:val="22"/>
          <w:szCs w:val="22"/>
        </w:rPr>
        <w:lastRenderedPageBreak/>
        <w:t>«Об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00B50AC3" w:rsidRPr="00B50AC3">
        <w:rPr>
          <w:sz w:val="22"/>
          <w:szCs w:val="22"/>
        </w:rPr>
        <w:t xml:space="preserve">в течение </w:t>
      </w:r>
      <w:r w:rsidR="00B50AC3">
        <w:rPr>
          <w:sz w:val="22"/>
          <w:szCs w:val="22"/>
        </w:rPr>
        <w:t>12-14 недель</w:t>
      </w:r>
      <w:r w:rsidR="00B50AC3" w:rsidRPr="00B50AC3">
        <w:rPr>
          <w:sz w:val="22"/>
          <w:szCs w:val="22"/>
        </w:rPr>
        <w:t xml:space="preserve"> с даты выполнения Покупателем своих обязательств по оплате авансового платежа в 30 %</w:t>
      </w:r>
    </w:p>
    <w:p w:rsidR="00BA066C" w:rsidRPr="00BA066C" w:rsidRDefault="00BA066C" w:rsidP="00BA066C">
      <w:pPr>
        <w:widowControl/>
        <w:spacing w:before="0"/>
        <w:ind w:firstLine="567"/>
        <w:contextualSpacing/>
        <w:rPr>
          <w:sz w:val="22"/>
          <w:szCs w:val="22"/>
        </w:rPr>
      </w:pPr>
    </w:p>
    <w:p w:rsidR="00B50AC3" w:rsidRPr="00B50AC3" w:rsidRDefault="00BA066C" w:rsidP="00B50AC3">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00B50AC3" w:rsidRPr="00B50AC3">
        <w:rPr>
          <w:color w:val="000000"/>
          <w:sz w:val="22"/>
          <w:szCs w:val="22"/>
        </w:rPr>
        <w:t>путем перечисления денежных средств на расчетный счет Поставщика:</w:t>
      </w:r>
    </w:p>
    <w:p w:rsidR="00B50AC3" w:rsidRPr="00B50AC3" w:rsidRDefault="00B50AC3" w:rsidP="00B50AC3">
      <w:pPr>
        <w:widowControl/>
        <w:shd w:val="clear" w:color="auto" w:fill="FFFFFF"/>
        <w:spacing w:before="0"/>
        <w:ind w:firstLine="0"/>
        <w:rPr>
          <w:color w:val="000000"/>
          <w:sz w:val="22"/>
          <w:szCs w:val="22"/>
        </w:rPr>
      </w:pPr>
      <w:r w:rsidRPr="00B50AC3">
        <w:rPr>
          <w:color w:val="000000"/>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BA066C" w:rsidRDefault="00B50AC3" w:rsidP="00B50AC3">
      <w:pPr>
        <w:widowControl/>
        <w:shd w:val="clear" w:color="auto" w:fill="FFFFFF"/>
        <w:spacing w:before="0"/>
        <w:ind w:firstLine="0"/>
        <w:rPr>
          <w:color w:val="000000"/>
          <w:sz w:val="22"/>
          <w:szCs w:val="22"/>
        </w:rPr>
      </w:pPr>
      <w:r w:rsidRPr="00B50AC3">
        <w:rPr>
          <w:color w:val="000000"/>
          <w:sz w:val="22"/>
          <w:szCs w:val="22"/>
        </w:rPr>
        <w:t>- Окончательный расчет в размере 70 % (Семидесяти процентов) от общей стоимости Товара осуществляется в течение 15 (Пя</w:t>
      </w:r>
      <w:r w:rsidR="002570BF">
        <w:rPr>
          <w:color w:val="000000"/>
          <w:sz w:val="22"/>
          <w:szCs w:val="22"/>
        </w:rPr>
        <w:t>тнадцати) банковских дней</w:t>
      </w:r>
      <w:r w:rsidRPr="00B50AC3">
        <w:rPr>
          <w:color w:val="000000"/>
          <w:sz w:val="22"/>
          <w:szCs w:val="22"/>
        </w:rPr>
        <w:t xml:space="preserve"> </w:t>
      </w:r>
      <w:r w:rsidR="002570BF" w:rsidRPr="002570BF">
        <w:rPr>
          <w:color w:val="000000"/>
          <w:sz w:val="22"/>
          <w:szCs w:val="22"/>
        </w:rPr>
        <w:t>с даты получения товара и подписания сопроводительных документов.</w:t>
      </w:r>
    </w:p>
    <w:p w:rsidR="00B50AC3" w:rsidRPr="00BA066C" w:rsidRDefault="00B50AC3" w:rsidP="00B50AC3">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B50AC3">
        <w:rPr>
          <w:sz w:val="22"/>
          <w:szCs w:val="22"/>
        </w:rPr>
        <w:t>главной медицинской сестры</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D83208">
        <w:rPr>
          <w:b/>
          <w:sz w:val="22"/>
          <w:szCs w:val="22"/>
        </w:rPr>
        <w:t>24</w:t>
      </w:r>
      <w:r w:rsidR="000172B1">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D83208">
        <w:rPr>
          <w:b/>
          <w:sz w:val="22"/>
          <w:szCs w:val="22"/>
        </w:rPr>
        <w:t>31</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D83208">
        <w:rPr>
          <w:b/>
          <w:sz w:val="22"/>
          <w:szCs w:val="22"/>
        </w:rPr>
        <w:t>заявками: в 11:00 31</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lastRenderedPageBreak/>
        <w:t>Дата, время и место рассмотрения заявок котир</w:t>
      </w:r>
      <w:r w:rsidR="002B62CE">
        <w:rPr>
          <w:b/>
          <w:sz w:val="22"/>
          <w:szCs w:val="22"/>
        </w:rPr>
        <w:t xml:space="preserve">овочных заявок: в 11.00 часов </w:t>
      </w:r>
      <w:r w:rsidR="00D83208">
        <w:rPr>
          <w:b/>
          <w:sz w:val="22"/>
          <w:szCs w:val="22"/>
        </w:rPr>
        <w:t>31</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D83208">
        <w:rPr>
          <w:sz w:val="22"/>
          <w:szCs w:val="22"/>
        </w:rPr>
        <w:t>главной медицинской сестры</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D83208">
        <w:rPr>
          <w:b/>
          <w:sz w:val="22"/>
          <w:szCs w:val="22"/>
        </w:rPr>
        <w:t>24</w:t>
      </w:r>
      <w:r w:rsidR="003B1BDB">
        <w:rPr>
          <w:b/>
          <w:sz w:val="22"/>
          <w:szCs w:val="22"/>
        </w:rPr>
        <w:t>.</w:t>
      </w:r>
      <w:r w:rsidR="000172B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D83208">
        <w:rPr>
          <w:b/>
          <w:sz w:val="22"/>
          <w:szCs w:val="22"/>
        </w:rPr>
        <w:t>31</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 xml:space="preserve">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w:t>
      </w:r>
      <w:r w:rsidRPr="00BA066C">
        <w:rPr>
          <w:sz w:val="22"/>
          <w:szCs w:val="22"/>
        </w:rPr>
        <w:lastRenderedPageBreak/>
        <w:t>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w:t>
      </w:r>
      <w:r w:rsidRPr="00BA066C">
        <w:rPr>
          <w:sz w:val="22"/>
          <w:szCs w:val="22"/>
        </w:rPr>
        <w:lastRenderedPageBreak/>
        <w:t>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CF3E6C">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3E7D6B">
        <w:rPr>
          <w:b/>
          <w:sz w:val="22"/>
          <w:szCs w:val="22"/>
        </w:rPr>
        <w:t>товаров медицинского назначения</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B945DD">
        <w:rPr>
          <w:sz w:val="22"/>
          <w:szCs w:val="22"/>
        </w:rPr>
        <w:t>9</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3D638B">
        <w:rPr>
          <w:sz w:val="22"/>
          <w:szCs w:val="22"/>
        </w:rPr>
        <w:t>товары</w:t>
      </w:r>
      <w:r w:rsidR="003E7D6B" w:rsidRPr="003E7D6B">
        <w:rPr>
          <w:sz w:val="22"/>
          <w:szCs w:val="22"/>
        </w:rPr>
        <w:t xml:space="preserve"> медицинского назначения</w:t>
      </w:r>
      <w:r w:rsidR="003D638B">
        <w:rPr>
          <w:sz w:val="22"/>
          <w:szCs w:val="22"/>
        </w:rPr>
        <w:t xml:space="preserve"> для нужд учреждения</w:t>
      </w:r>
    </w:p>
    <w:p w:rsidR="00C328E5" w:rsidRDefault="00C328E5" w:rsidP="00B3644C">
      <w:pPr>
        <w:pStyle w:val="ab"/>
        <w:spacing w:after="0"/>
        <w:rPr>
          <w:sz w:val="22"/>
          <w:szCs w:val="22"/>
        </w:rPr>
      </w:pPr>
    </w:p>
    <w:p w:rsidR="00E40A6B" w:rsidRDefault="00E40A6B" w:rsidP="00B3644C">
      <w:pPr>
        <w:pStyle w:val="ab"/>
        <w:spacing w:after="0"/>
        <w:rPr>
          <w:sz w:val="22"/>
          <w:szCs w:val="22"/>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130"/>
        <w:gridCol w:w="4382"/>
        <w:gridCol w:w="1542"/>
        <w:gridCol w:w="1424"/>
        <w:gridCol w:w="1424"/>
      </w:tblGrid>
      <w:tr w:rsidR="00B945DD" w:rsidRPr="00B945DD" w:rsidTr="00B945DD">
        <w:trPr>
          <w:trHeight w:val="309"/>
        </w:trPr>
        <w:tc>
          <w:tcPr>
            <w:tcW w:w="554"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sidRPr="00B945DD">
              <w:rPr>
                <w:b/>
                <w:bCs/>
                <w:sz w:val="22"/>
                <w:szCs w:val="22"/>
              </w:rPr>
              <w:t>№</w:t>
            </w:r>
          </w:p>
        </w:tc>
        <w:tc>
          <w:tcPr>
            <w:tcW w:w="1130"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sidRPr="00B945DD">
              <w:rPr>
                <w:b/>
                <w:bCs/>
                <w:sz w:val="22"/>
                <w:szCs w:val="22"/>
              </w:rPr>
              <w:t>Артикул</w:t>
            </w:r>
          </w:p>
        </w:tc>
        <w:tc>
          <w:tcPr>
            <w:tcW w:w="4382"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Pr>
                <w:b/>
                <w:bCs/>
                <w:sz w:val="22"/>
                <w:szCs w:val="22"/>
              </w:rPr>
              <w:t>Наименование</w:t>
            </w:r>
          </w:p>
        </w:tc>
        <w:tc>
          <w:tcPr>
            <w:tcW w:w="1542"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sidRPr="00B945DD">
              <w:rPr>
                <w:b/>
                <w:bCs/>
                <w:sz w:val="22"/>
                <w:szCs w:val="22"/>
              </w:rPr>
              <w:t>Количество</w:t>
            </w:r>
          </w:p>
        </w:tc>
        <w:tc>
          <w:tcPr>
            <w:tcW w:w="1424"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Pr>
                <w:b/>
                <w:bCs/>
                <w:sz w:val="22"/>
                <w:szCs w:val="22"/>
              </w:rPr>
              <w:t>Цена, в руб.</w:t>
            </w:r>
          </w:p>
        </w:tc>
        <w:tc>
          <w:tcPr>
            <w:tcW w:w="1424" w:type="dxa"/>
          </w:tcPr>
          <w:p w:rsidR="00B945DD" w:rsidRPr="00B945DD" w:rsidRDefault="00B945DD" w:rsidP="00B945DD">
            <w:pPr>
              <w:pStyle w:val="a6"/>
              <w:widowControl w:val="0"/>
              <w:overflowPunct w:val="0"/>
              <w:autoSpaceDE w:val="0"/>
              <w:autoSpaceDN w:val="0"/>
              <w:adjustRightInd w:val="0"/>
              <w:jc w:val="center"/>
              <w:textAlignment w:val="baseline"/>
              <w:rPr>
                <w:b/>
                <w:bCs/>
                <w:sz w:val="22"/>
                <w:szCs w:val="22"/>
              </w:rPr>
            </w:pPr>
            <w:r>
              <w:rPr>
                <w:b/>
                <w:bCs/>
                <w:sz w:val="22"/>
                <w:szCs w:val="22"/>
              </w:rPr>
              <w:t>Стоимость, в руб.</w:t>
            </w:r>
          </w:p>
        </w:tc>
      </w:tr>
      <w:tr w:rsidR="00B945DD" w:rsidRPr="00B945DD" w:rsidTr="00B945DD">
        <w:trPr>
          <w:trHeight w:val="309"/>
        </w:trPr>
        <w:tc>
          <w:tcPr>
            <w:tcW w:w="554" w:type="dxa"/>
          </w:tcPr>
          <w:p w:rsidR="00B945DD" w:rsidRPr="00B945DD" w:rsidRDefault="00B945DD" w:rsidP="00B945DD">
            <w:pPr>
              <w:pStyle w:val="a6"/>
              <w:widowControl w:val="0"/>
              <w:overflowPunct w:val="0"/>
              <w:autoSpaceDE w:val="0"/>
              <w:autoSpaceDN w:val="0"/>
              <w:adjustRightInd w:val="0"/>
              <w:textAlignment w:val="baseline"/>
              <w:rPr>
                <w:b/>
                <w:bCs/>
                <w:sz w:val="22"/>
                <w:szCs w:val="22"/>
              </w:rPr>
            </w:pPr>
            <w:r w:rsidRPr="00B945DD">
              <w:rPr>
                <w:b/>
                <w:bCs/>
                <w:sz w:val="22"/>
                <w:szCs w:val="22"/>
              </w:rPr>
              <w:t>1</w:t>
            </w:r>
          </w:p>
        </w:tc>
        <w:tc>
          <w:tcPr>
            <w:tcW w:w="1130" w:type="dxa"/>
          </w:tcPr>
          <w:p w:rsidR="00B945DD" w:rsidRPr="00B945DD" w:rsidRDefault="00B945DD" w:rsidP="00B945DD">
            <w:pPr>
              <w:pStyle w:val="a6"/>
              <w:widowControl w:val="0"/>
              <w:overflowPunct w:val="0"/>
              <w:autoSpaceDE w:val="0"/>
              <w:autoSpaceDN w:val="0"/>
              <w:adjustRightInd w:val="0"/>
              <w:textAlignment w:val="baseline"/>
              <w:rPr>
                <w:bCs/>
                <w:sz w:val="22"/>
                <w:szCs w:val="22"/>
              </w:rPr>
            </w:pPr>
            <w:r w:rsidRPr="00B945DD">
              <w:rPr>
                <w:bCs/>
                <w:sz w:val="22"/>
                <w:szCs w:val="22"/>
              </w:rPr>
              <w:t>27805</w:t>
            </w:r>
          </w:p>
        </w:tc>
        <w:tc>
          <w:tcPr>
            <w:tcW w:w="4382" w:type="dxa"/>
            <w:vAlign w:val="center"/>
          </w:tcPr>
          <w:p w:rsidR="00B945DD" w:rsidRPr="00B945DD" w:rsidRDefault="00B945DD" w:rsidP="00B945DD">
            <w:pPr>
              <w:pStyle w:val="a6"/>
              <w:widowControl w:val="0"/>
              <w:overflowPunct w:val="0"/>
              <w:autoSpaceDE w:val="0"/>
              <w:autoSpaceDN w:val="0"/>
              <w:adjustRightInd w:val="0"/>
              <w:textAlignment w:val="baseline"/>
              <w:rPr>
                <w:bCs/>
                <w:sz w:val="22"/>
                <w:szCs w:val="22"/>
              </w:rPr>
            </w:pPr>
            <w:r w:rsidRPr="00B945DD">
              <w:rPr>
                <w:bCs/>
                <w:sz w:val="22"/>
                <w:szCs w:val="22"/>
              </w:rPr>
              <w:t xml:space="preserve">Электрод нейтральный, из силикона, с 2-мя резиновыми ремнями для фиксации, A= 500 </w:t>
            </w:r>
            <w:proofErr w:type="spellStart"/>
            <w:proofErr w:type="gramStart"/>
            <w:r w:rsidRPr="00B945DD">
              <w:rPr>
                <w:bCs/>
                <w:sz w:val="22"/>
                <w:szCs w:val="22"/>
              </w:rPr>
              <w:t>cm</w:t>
            </w:r>
            <w:proofErr w:type="spellEnd"/>
            <w:r w:rsidRPr="00B945DD">
              <w:rPr>
                <w:bCs/>
                <w:sz w:val="22"/>
                <w:szCs w:val="22"/>
              </w:rPr>
              <w:t>?,</w:t>
            </w:r>
            <w:proofErr w:type="gramEnd"/>
            <w:r w:rsidRPr="00B945DD">
              <w:rPr>
                <w:bCs/>
                <w:sz w:val="22"/>
                <w:szCs w:val="22"/>
              </w:rPr>
              <w:t xml:space="preserve"> используется с KARL STORZ AUTOCON (</w:t>
            </w:r>
            <w:proofErr w:type="spellStart"/>
            <w:r w:rsidRPr="00B945DD">
              <w:rPr>
                <w:bCs/>
                <w:sz w:val="22"/>
                <w:szCs w:val="22"/>
              </w:rPr>
              <w:t>type</w:t>
            </w:r>
            <w:proofErr w:type="spellEnd"/>
            <w:r w:rsidRPr="00B945DD">
              <w:rPr>
                <w:bCs/>
                <w:sz w:val="22"/>
                <w:szCs w:val="22"/>
              </w:rPr>
              <w:t xml:space="preserve"> 200, 350), AUTOCON II 400 (</w:t>
            </w:r>
            <w:proofErr w:type="spellStart"/>
            <w:r w:rsidRPr="00B945DD">
              <w:rPr>
                <w:bCs/>
                <w:sz w:val="22"/>
                <w:szCs w:val="22"/>
              </w:rPr>
              <w:t>type</w:t>
            </w:r>
            <w:proofErr w:type="spellEnd"/>
            <w:r w:rsidRPr="00B945DD">
              <w:rPr>
                <w:bCs/>
                <w:sz w:val="22"/>
                <w:szCs w:val="22"/>
              </w:rPr>
              <w:t xml:space="preserve"> 111, 115) и AUTOCON® III 400/ AUTOCON® III 300 (Нужен кабель 27806UR)</w:t>
            </w:r>
          </w:p>
        </w:tc>
        <w:tc>
          <w:tcPr>
            <w:tcW w:w="1542" w:type="dxa"/>
          </w:tcPr>
          <w:p w:rsidR="00B945DD" w:rsidRPr="00B945DD" w:rsidRDefault="00B945DD" w:rsidP="00B945DD">
            <w:pPr>
              <w:pStyle w:val="a6"/>
              <w:widowControl w:val="0"/>
              <w:overflowPunct w:val="0"/>
              <w:autoSpaceDE w:val="0"/>
              <w:autoSpaceDN w:val="0"/>
              <w:adjustRightInd w:val="0"/>
              <w:textAlignment w:val="baseline"/>
              <w:rPr>
                <w:bCs/>
                <w:sz w:val="22"/>
                <w:szCs w:val="22"/>
              </w:rPr>
            </w:pPr>
            <w:r w:rsidRPr="00B945DD">
              <w:rPr>
                <w:bCs/>
                <w:sz w:val="22"/>
                <w:szCs w:val="22"/>
              </w:rPr>
              <w:t>3 шт.</w:t>
            </w:r>
          </w:p>
        </w:tc>
        <w:tc>
          <w:tcPr>
            <w:tcW w:w="1424" w:type="dxa"/>
          </w:tcPr>
          <w:p w:rsidR="00B945DD" w:rsidRPr="00B945DD" w:rsidRDefault="00B945DD" w:rsidP="00B945DD">
            <w:pPr>
              <w:pStyle w:val="a6"/>
              <w:widowControl w:val="0"/>
              <w:overflowPunct w:val="0"/>
              <w:autoSpaceDE w:val="0"/>
              <w:autoSpaceDN w:val="0"/>
              <w:adjustRightInd w:val="0"/>
              <w:textAlignment w:val="baseline"/>
              <w:rPr>
                <w:bCs/>
                <w:sz w:val="22"/>
                <w:szCs w:val="22"/>
              </w:rPr>
            </w:pPr>
          </w:p>
        </w:tc>
        <w:tc>
          <w:tcPr>
            <w:tcW w:w="1424" w:type="dxa"/>
          </w:tcPr>
          <w:p w:rsidR="00B945DD" w:rsidRPr="00B945DD" w:rsidRDefault="00B945DD" w:rsidP="00B945DD">
            <w:pPr>
              <w:pStyle w:val="a6"/>
              <w:widowControl w:val="0"/>
              <w:overflowPunct w:val="0"/>
              <w:autoSpaceDE w:val="0"/>
              <w:autoSpaceDN w:val="0"/>
              <w:adjustRightInd w:val="0"/>
              <w:textAlignment w:val="baseline"/>
              <w:rPr>
                <w:bCs/>
                <w:sz w:val="22"/>
                <w:szCs w:val="22"/>
              </w:rPr>
            </w:pPr>
          </w:p>
        </w:tc>
      </w:tr>
    </w:tbl>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3E7D6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lastRenderedPageBreak/>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w:t>
      </w:r>
      <w:r w:rsidR="00B50AC3" w:rsidRPr="00B50AC3">
        <w:rPr>
          <w:sz w:val="22"/>
          <w:szCs w:val="22"/>
        </w:rPr>
        <w:t>в течение 12-14 недель с даты выполнения Покупателем своих обязательств по оплате авансового платежа в 30 %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9C55E0" w:rsidRPr="009C55E0" w:rsidRDefault="00547625" w:rsidP="009C55E0">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9C55E0">
        <w:rPr>
          <w:b/>
          <w:sz w:val="22"/>
          <w:szCs w:val="22"/>
        </w:rPr>
        <w:t xml:space="preserve">оплаты: </w:t>
      </w:r>
      <w:r w:rsidR="009C55E0" w:rsidRPr="009C55E0">
        <w:rPr>
          <w:sz w:val="22"/>
          <w:szCs w:val="22"/>
        </w:rPr>
        <w:t>путем перечисления денежных средств на расчетный счет Поставщика:</w:t>
      </w:r>
    </w:p>
    <w:p w:rsidR="009C55E0" w:rsidRPr="009C55E0" w:rsidRDefault="009C55E0" w:rsidP="009C55E0">
      <w:pPr>
        <w:widowControl/>
        <w:spacing w:before="0"/>
        <w:ind w:firstLine="0"/>
        <w:rPr>
          <w:sz w:val="22"/>
          <w:szCs w:val="22"/>
        </w:rPr>
      </w:pPr>
      <w:r w:rsidRPr="009C55E0">
        <w:rPr>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5E4CB7" w:rsidRPr="009C55E0" w:rsidRDefault="009C55E0" w:rsidP="009C55E0">
      <w:pPr>
        <w:widowControl/>
        <w:spacing w:before="0"/>
        <w:ind w:firstLine="0"/>
        <w:rPr>
          <w:sz w:val="22"/>
          <w:szCs w:val="22"/>
        </w:rPr>
      </w:pPr>
      <w:r w:rsidRPr="009C55E0">
        <w:rPr>
          <w:sz w:val="22"/>
          <w:szCs w:val="22"/>
        </w:rPr>
        <w:t>- Окончательный расчет в размере 70 % (Семидесяти процентов) от общей стоимости Товара осуществляется в течение 15 (Пятнадцати) банковс</w:t>
      </w:r>
      <w:r w:rsidR="00DC1710">
        <w:rPr>
          <w:sz w:val="22"/>
          <w:szCs w:val="22"/>
        </w:rPr>
        <w:t>ких дней с даты получения товара</w:t>
      </w:r>
      <w:r w:rsidRPr="009C55E0">
        <w:rPr>
          <w:sz w:val="22"/>
          <w:szCs w:val="22"/>
        </w:rPr>
        <w:t xml:space="preserve"> и подписания сопроводительных документов.</w:t>
      </w:r>
    </w:p>
    <w:p w:rsidR="00DC7D71" w:rsidRPr="007D4989" w:rsidRDefault="00547625" w:rsidP="005E4CB7">
      <w:pPr>
        <w:widowControl/>
        <w:spacing w:before="0"/>
        <w:ind w:firstLine="0"/>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B945DD">
        <w:rPr>
          <w:sz w:val="22"/>
          <w:szCs w:val="22"/>
        </w:rPr>
        <w:t>нет</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3E7D6B">
        <w:rPr>
          <w:b/>
          <w:snapToGrid w:val="0"/>
          <w:color w:val="000000"/>
          <w:sz w:val="22"/>
          <w:szCs w:val="22"/>
        </w:rPr>
        <w:t>товаров медицинского назначения</w:t>
      </w:r>
      <w:r w:rsidR="00C3632A" w:rsidRPr="00C3632A">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41778">
        <w:rPr>
          <w:sz w:val="22"/>
          <w:szCs w:val="22"/>
        </w:rPr>
        <w:lastRenderedPageBreak/>
        <w:t>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B945DD">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B50AC3" w:rsidRPr="00B50AC3" w:rsidRDefault="00C311B8" w:rsidP="00B50AC3">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w:t>
      </w:r>
      <w:r w:rsidR="00B50AC3" w:rsidRPr="00B50AC3">
        <w:rPr>
          <w:rFonts w:eastAsia="Calibri"/>
          <w:bCs/>
          <w:kern w:val="3"/>
          <w:sz w:val="22"/>
          <w:szCs w:val="22"/>
        </w:rPr>
        <w:t>путем перечисления денежных средств на расчетный счет Поставщика:</w:t>
      </w:r>
    </w:p>
    <w:p w:rsidR="00B50AC3" w:rsidRPr="00B50AC3" w:rsidRDefault="00B50AC3" w:rsidP="00B50AC3">
      <w:pPr>
        <w:widowControl/>
        <w:spacing w:before="0"/>
        <w:rPr>
          <w:rFonts w:eastAsia="Calibri"/>
          <w:bCs/>
          <w:kern w:val="3"/>
          <w:sz w:val="22"/>
          <w:szCs w:val="22"/>
        </w:rPr>
      </w:pPr>
      <w:r w:rsidRPr="00B50AC3">
        <w:rPr>
          <w:rFonts w:eastAsia="Calibri"/>
          <w:bCs/>
          <w:kern w:val="3"/>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B50AC3" w:rsidRDefault="00B50AC3" w:rsidP="00B50AC3">
      <w:pPr>
        <w:widowControl/>
        <w:spacing w:before="0"/>
        <w:rPr>
          <w:rFonts w:eastAsia="Calibri"/>
          <w:bCs/>
          <w:kern w:val="3"/>
          <w:sz w:val="22"/>
          <w:szCs w:val="22"/>
        </w:rPr>
      </w:pPr>
      <w:r w:rsidRPr="00B50AC3">
        <w:rPr>
          <w:rFonts w:eastAsia="Calibri"/>
          <w:bCs/>
          <w:kern w:val="3"/>
          <w:sz w:val="22"/>
          <w:szCs w:val="22"/>
        </w:rPr>
        <w:t xml:space="preserve">- Окончательный расчет в размере 70 % (Семидесяти процентов) от общей стоимости Товара осуществляется в течение 15 (Пятнадцати) банковских дней с даты </w:t>
      </w:r>
      <w:r w:rsidR="002570BF">
        <w:rPr>
          <w:rFonts w:eastAsia="Calibri"/>
          <w:bCs/>
          <w:kern w:val="3"/>
          <w:sz w:val="22"/>
          <w:szCs w:val="22"/>
        </w:rPr>
        <w:t>получения товара и подписания сопроводительных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w:t>
      </w:r>
      <w:r w:rsidRPr="00670D7B">
        <w:rPr>
          <w:rFonts w:eastAsia="Calibri"/>
          <w:bCs/>
          <w:kern w:val="3"/>
          <w:sz w:val="22"/>
          <w:szCs w:val="22"/>
        </w:rPr>
        <w:lastRenderedPageBreak/>
        <w:t>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w:t>
      </w:r>
      <w:r w:rsidR="003E7D6B">
        <w:rPr>
          <w:rFonts w:eastAsia="Calibri"/>
          <w:b/>
          <w:bCs/>
          <w:kern w:val="3"/>
          <w:sz w:val="22"/>
          <w:szCs w:val="22"/>
        </w:rPr>
        <w:t xml:space="preserve"> </w:t>
      </w:r>
      <w:r w:rsidRPr="00670D7B">
        <w:rPr>
          <w:rFonts w:eastAsia="Calibri"/>
          <w:b/>
          <w:bCs/>
          <w:kern w:val="3"/>
          <w:sz w:val="22"/>
          <w:szCs w:val="22"/>
        </w:rPr>
        <w:t>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w:t>
      </w:r>
      <w:r w:rsidRPr="00670D7B">
        <w:rPr>
          <w:rFonts w:eastAsia="Calibri"/>
          <w:bCs/>
          <w:kern w:val="3"/>
          <w:sz w:val="22"/>
          <w:szCs w:val="22"/>
        </w:rPr>
        <w:lastRenderedPageBreak/>
        <w:t>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894071">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2570BF" w:rsidRPr="00670D7B" w:rsidRDefault="002570BF"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bookmarkStart w:id="0" w:name="_GoBack"/>
            <w:bookmarkEnd w:id="0"/>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3D638B" w:rsidRDefault="003D638B" w:rsidP="00DC7D71">
      <w:pPr>
        <w:pStyle w:val="Standard"/>
        <w:tabs>
          <w:tab w:val="left" w:pos="1040"/>
          <w:tab w:val="left" w:pos="1440"/>
          <w:tab w:val="left" w:pos="8000"/>
        </w:tabs>
        <w:jc w:val="center"/>
        <w:rPr>
          <w:b/>
          <w:sz w:val="22"/>
          <w:szCs w:val="22"/>
        </w:rPr>
      </w:pPr>
    </w:p>
    <w:p w:rsidR="003D638B" w:rsidRDefault="003D638B" w:rsidP="00DC7D71">
      <w:pPr>
        <w:pStyle w:val="Standard"/>
        <w:tabs>
          <w:tab w:val="left" w:pos="1040"/>
          <w:tab w:val="left" w:pos="1440"/>
          <w:tab w:val="left" w:pos="8000"/>
        </w:tabs>
        <w:jc w:val="center"/>
        <w:rPr>
          <w:b/>
          <w:sz w:val="22"/>
          <w:szCs w:val="22"/>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130"/>
        <w:gridCol w:w="4382"/>
        <w:gridCol w:w="1542"/>
        <w:gridCol w:w="1424"/>
        <w:gridCol w:w="1424"/>
      </w:tblGrid>
      <w:tr w:rsidR="00B945DD" w:rsidRPr="00B945DD" w:rsidTr="0094329E">
        <w:trPr>
          <w:trHeight w:val="309"/>
        </w:trPr>
        <w:tc>
          <w:tcPr>
            <w:tcW w:w="554"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w:t>
            </w:r>
          </w:p>
        </w:tc>
        <w:tc>
          <w:tcPr>
            <w:tcW w:w="1130"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Артикул</w:t>
            </w:r>
          </w:p>
        </w:tc>
        <w:tc>
          <w:tcPr>
            <w:tcW w:w="4382"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Наименование</w:t>
            </w:r>
          </w:p>
        </w:tc>
        <w:tc>
          <w:tcPr>
            <w:tcW w:w="1542"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Количество</w:t>
            </w:r>
          </w:p>
        </w:tc>
        <w:tc>
          <w:tcPr>
            <w:tcW w:w="1424"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Цена, в руб.</w:t>
            </w:r>
          </w:p>
        </w:tc>
        <w:tc>
          <w:tcPr>
            <w:tcW w:w="1424" w:type="dxa"/>
          </w:tcPr>
          <w:p w:rsidR="00B945DD" w:rsidRPr="00B945DD" w:rsidRDefault="00B945DD" w:rsidP="00B945DD">
            <w:pPr>
              <w:pStyle w:val="Standard"/>
              <w:tabs>
                <w:tab w:val="left" w:pos="1040"/>
                <w:tab w:val="left" w:pos="1440"/>
                <w:tab w:val="left" w:pos="8000"/>
              </w:tabs>
              <w:rPr>
                <w:b/>
                <w:bCs/>
                <w:sz w:val="22"/>
                <w:szCs w:val="22"/>
              </w:rPr>
            </w:pPr>
            <w:r w:rsidRPr="00B945DD">
              <w:rPr>
                <w:b/>
                <w:bCs/>
                <w:sz w:val="22"/>
                <w:szCs w:val="22"/>
              </w:rPr>
              <w:t>Стоимость, в руб.</w:t>
            </w:r>
          </w:p>
        </w:tc>
      </w:tr>
      <w:tr w:rsidR="00B945DD" w:rsidRPr="00B945DD" w:rsidTr="0094329E">
        <w:trPr>
          <w:trHeight w:val="309"/>
        </w:trPr>
        <w:tc>
          <w:tcPr>
            <w:tcW w:w="554" w:type="dxa"/>
          </w:tcPr>
          <w:p w:rsidR="00B945DD" w:rsidRPr="00B945DD" w:rsidRDefault="00B945DD" w:rsidP="00B945DD">
            <w:pPr>
              <w:pStyle w:val="Standard"/>
              <w:tabs>
                <w:tab w:val="left" w:pos="1040"/>
                <w:tab w:val="left" w:pos="1440"/>
                <w:tab w:val="left" w:pos="8000"/>
              </w:tabs>
              <w:jc w:val="center"/>
              <w:rPr>
                <w:b/>
                <w:bCs/>
                <w:sz w:val="22"/>
                <w:szCs w:val="22"/>
              </w:rPr>
            </w:pPr>
            <w:r w:rsidRPr="00B945DD">
              <w:rPr>
                <w:b/>
                <w:bCs/>
                <w:sz w:val="22"/>
                <w:szCs w:val="22"/>
              </w:rPr>
              <w:t>1</w:t>
            </w:r>
          </w:p>
        </w:tc>
        <w:tc>
          <w:tcPr>
            <w:tcW w:w="1130" w:type="dxa"/>
          </w:tcPr>
          <w:p w:rsidR="00B945DD" w:rsidRPr="00B945DD" w:rsidRDefault="00B945DD" w:rsidP="00B945DD">
            <w:pPr>
              <w:pStyle w:val="Standard"/>
              <w:tabs>
                <w:tab w:val="left" w:pos="1040"/>
                <w:tab w:val="left" w:pos="1440"/>
                <w:tab w:val="left" w:pos="8000"/>
              </w:tabs>
              <w:jc w:val="center"/>
              <w:rPr>
                <w:bCs/>
                <w:sz w:val="22"/>
                <w:szCs w:val="22"/>
              </w:rPr>
            </w:pPr>
            <w:r w:rsidRPr="00B945DD">
              <w:rPr>
                <w:bCs/>
                <w:sz w:val="22"/>
                <w:szCs w:val="22"/>
              </w:rPr>
              <w:t>27805</w:t>
            </w:r>
          </w:p>
        </w:tc>
        <w:tc>
          <w:tcPr>
            <w:tcW w:w="4382" w:type="dxa"/>
            <w:vAlign w:val="center"/>
          </w:tcPr>
          <w:p w:rsidR="00B945DD" w:rsidRPr="00B945DD" w:rsidRDefault="00B945DD" w:rsidP="00B945DD">
            <w:pPr>
              <w:pStyle w:val="Standard"/>
              <w:tabs>
                <w:tab w:val="left" w:pos="1040"/>
                <w:tab w:val="left" w:pos="1440"/>
                <w:tab w:val="left" w:pos="8000"/>
              </w:tabs>
              <w:jc w:val="center"/>
              <w:rPr>
                <w:bCs/>
                <w:sz w:val="22"/>
                <w:szCs w:val="22"/>
              </w:rPr>
            </w:pPr>
            <w:r w:rsidRPr="00B945DD">
              <w:rPr>
                <w:bCs/>
                <w:sz w:val="22"/>
                <w:szCs w:val="22"/>
              </w:rPr>
              <w:t xml:space="preserve">Электрод нейтральный, из силикона, с 2-мя резиновыми ремнями для фиксации, A= 500 </w:t>
            </w:r>
            <w:proofErr w:type="spellStart"/>
            <w:proofErr w:type="gramStart"/>
            <w:r w:rsidRPr="00B945DD">
              <w:rPr>
                <w:bCs/>
                <w:sz w:val="22"/>
                <w:szCs w:val="22"/>
              </w:rPr>
              <w:t>cm</w:t>
            </w:r>
            <w:proofErr w:type="spellEnd"/>
            <w:r w:rsidRPr="00B945DD">
              <w:rPr>
                <w:bCs/>
                <w:sz w:val="22"/>
                <w:szCs w:val="22"/>
              </w:rPr>
              <w:t>?,</w:t>
            </w:r>
            <w:proofErr w:type="gramEnd"/>
            <w:r w:rsidRPr="00B945DD">
              <w:rPr>
                <w:bCs/>
                <w:sz w:val="22"/>
                <w:szCs w:val="22"/>
              </w:rPr>
              <w:t xml:space="preserve"> используется с KARL STORZ AUTOCON (</w:t>
            </w:r>
            <w:proofErr w:type="spellStart"/>
            <w:r w:rsidRPr="00B945DD">
              <w:rPr>
                <w:bCs/>
                <w:sz w:val="22"/>
                <w:szCs w:val="22"/>
              </w:rPr>
              <w:t>type</w:t>
            </w:r>
            <w:proofErr w:type="spellEnd"/>
            <w:r w:rsidRPr="00B945DD">
              <w:rPr>
                <w:bCs/>
                <w:sz w:val="22"/>
                <w:szCs w:val="22"/>
              </w:rPr>
              <w:t xml:space="preserve"> 200, 350), AUTOCON II 400 (</w:t>
            </w:r>
            <w:proofErr w:type="spellStart"/>
            <w:r w:rsidRPr="00B945DD">
              <w:rPr>
                <w:bCs/>
                <w:sz w:val="22"/>
                <w:szCs w:val="22"/>
              </w:rPr>
              <w:t>type</w:t>
            </w:r>
            <w:proofErr w:type="spellEnd"/>
            <w:r w:rsidRPr="00B945DD">
              <w:rPr>
                <w:bCs/>
                <w:sz w:val="22"/>
                <w:szCs w:val="22"/>
              </w:rPr>
              <w:t xml:space="preserve"> 111, 115) и AUTOCON® III 400/ AUTOCON® III 300 (Нужен кабель 27806UR)</w:t>
            </w:r>
          </w:p>
        </w:tc>
        <w:tc>
          <w:tcPr>
            <w:tcW w:w="1542" w:type="dxa"/>
          </w:tcPr>
          <w:p w:rsidR="00B945DD" w:rsidRPr="00B945DD" w:rsidRDefault="00B945DD" w:rsidP="00B945DD">
            <w:pPr>
              <w:pStyle w:val="Standard"/>
              <w:tabs>
                <w:tab w:val="left" w:pos="1040"/>
                <w:tab w:val="left" w:pos="1440"/>
                <w:tab w:val="left" w:pos="8000"/>
              </w:tabs>
              <w:jc w:val="center"/>
              <w:rPr>
                <w:bCs/>
                <w:sz w:val="22"/>
                <w:szCs w:val="22"/>
              </w:rPr>
            </w:pPr>
            <w:r w:rsidRPr="00B945DD">
              <w:rPr>
                <w:bCs/>
                <w:sz w:val="22"/>
                <w:szCs w:val="22"/>
              </w:rPr>
              <w:t>3 шт.</w:t>
            </w:r>
          </w:p>
        </w:tc>
        <w:tc>
          <w:tcPr>
            <w:tcW w:w="1424" w:type="dxa"/>
          </w:tcPr>
          <w:p w:rsidR="00B945DD" w:rsidRPr="00B945DD" w:rsidRDefault="00B945DD" w:rsidP="00B945DD">
            <w:pPr>
              <w:pStyle w:val="Standard"/>
              <w:tabs>
                <w:tab w:val="left" w:pos="1040"/>
                <w:tab w:val="left" w:pos="1440"/>
                <w:tab w:val="left" w:pos="8000"/>
              </w:tabs>
              <w:jc w:val="center"/>
              <w:rPr>
                <w:b/>
                <w:bCs/>
                <w:sz w:val="22"/>
                <w:szCs w:val="22"/>
              </w:rPr>
            </w:pPr>
          </w:p>
        </w:tc>
        <w:tc>
          <w:tcPr>
            <w:tcW w:w="1424" w:type="dxa"/>
          </w:tcPr>
          <w:p w:rsidR="00B945DD" w:rsidRPr="00B945DD" w:rsidRDefault="00B945DD" w:rsidP="00B945DD">
            <w:pPr>
              <w:pStyle w:val="Standard"/>
              <w:tabs>
                <w:tab w:val="left" w:pos="1040"/>
                <w:tab w:val="left" w:pos="1440"/>
                <w:tab w:val="left" w:pos="8000"/>
              </w:tabs>
              <w:jc w:val="center"/>
              <w:rPr>
                <w:b/>
                <w:bCs/>
                <w:sz w:val="22"/>
                <w:szCs w:val="22"/>
              </w:rPr>
            </w:pPr>
          </w:p>
        </w:tc>
      </w:tr>
    </w:tbl>
    <w:p w:rsidR="003D638B" w:rsidRPr="003D638B" w:rsidRDefault="003D638B" w:rsidP="003D638B">
      <w:pPr>
        <w:pStyle w:val="Standard"/>
        <w:tabs>
          <w:tab w:val="left" w:pos="1040"/>
          <w:tab w:val="left" w:pos="1440"/>
          <w:tab w:val="left" w:pos="8000"/>
        </w:tabs>
        <w:jc w:val="center"/>
        <w:rPr>
          <w:b/>
          <w:bCs/>
          <w:sz w:val="22"/>
          <w:szCs w:val="22"/>
        </w:rPr>
      </w:pPr>
    </w:p>
    <w:p w:rsidR="003D638B" w:rsidRDefault="003D638B"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0832E2" w:rsidRPr="00670D7B"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3F" w:rsidRDefault="0097473F" w:rsidP="00547DA4">
      <w:pPr>
        <w:spacing w:before="0"/>
      </w:pPr>
      <w:r>
        <w:separator/>
      </w:r>
    </w:p>
  </w:endnote>
  <w:endnote w:type="continuationSeparator" w:id="0">
    <w:p w:rsidR="0097473F" w:rsidRDefault="0097473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5" w:csb1="00000000"/>
  </w:font>
  <w:font w:name="SimSun">
    <w:altName w:val="??????????Ўм§А?§ЮЎм???§ЮЎм§Ў?Ўм"/>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473F" w:rsidRDefault="0097473F"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473F" w:rsidRDefault="0097473F"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3F" w:rsidRDefault="0097473F" w:rsidP="00547DA4">
      <w:pPr>
        <w:spacing w:before="0"/>
      </w:pPr>
      <w:r>
        <w:separator/>
      </w:r>
    </w:p>
  </w:footnote>
  <w:footnote w:type="continuationSeparator" w:id="0">
    <w:p w:rsidR="0097473F" w:rsidRDefault="0097473F"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73F" w:rsidRDefault="0097473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73F" w:rsidRDefault="009747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2B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C3EA7"/>
    <w:rsid w:val="000E4F0F"/>
    <w:rsid w:val="000F60D1"/>
    <w:rsid w:val="001254E5"/>
    <w:rsid w:val="00131CB5"/>
    <w:rsid w:val="00151127"/>
    <w:rsid w:val="00152006"/>
    <w:rsid w:val="00175CF9"/>
    <w:rsid w:val="001805C0"/>
    <w:rsid w:val="00187117"/>
    <w:rsid w:val="00190A08"/>
    <w:rsid w:val="001A0472"/>
    <w:rsid w:val="001C56DB"/>
    <w:rsid w:val="001C5A17"/>
    <w:rsid w:val="001D2A5D"/>
    <w:rsid w:val="001E2B12"/>
    <w:rsid w:val="001F445B"/>
    <w:rsid w:val="00206A61"/>
    <w:rsid w:val="00217BD2"/>
    <w:rsid w:val="00227376"/>
    <w:rsid w:val="00231F04"/>
    <w:rsid w:val="00235D75"/>
    <w:rsid w:val="00243369"/>
    <w:rsid w:val="002570BF"/>
    <w:rsid w:val="002652CA"/>
    <w:rsid w:val="00276FD5"/>
    <w:rsid w:val="00292C95"/>
    <w:rsid w:val="0029375B"/>
    <w:rsid w:val="002970B7"/>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D638B"/>
    <w:rsid w:val="003E63F7"/>
    <w:rsid w:val="003E7D6B"/>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91614"/>
    <w:rsid w:val="00597B7E"/>
    <w:rsid w:val="005A125F"/>
    <w:rsid w:val="005D384C"/>
    <w:rsid w:val="005E4CB7"/>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4071"/>
    <w:rsid w:val="00896B93"/>
    <w:rsid w:val="00897413"/>
    <w:rsid w:val="008B078F"/>
    <w:rsid w:val="008C55B2"/>
    <w:rsid w:val="008C57CC"/>
    <w:rsid w:val="008D31FA"/>
    <w:rsid w:val="008D5908"/>
    <w:rsid w:val="008E5C1A"/>
    <w:rsid w:val="008E7CB9"/>
    <w:rsid w:val="008F0149"/>
    <w:rsid w:val="008F75A8"/>
    <w:rsid w:val="00907525"/>
    <w:rsid w:val="00916009"/>
    <w:rsid w:val="00921EF1"/>
    <w:rsid w:val="009276F0"/>
    <w:rsid w:val="00937ED0"/>
    <w:rsid w:val="00950F6F"/>
    <w:rsid w:val="00954D46"/>
    <w:rsid w:val="0097473F"/>
    <w:rsid w:val="00987F27"/>
    <w:rsid w:val="009A5E6E"/>
    <w:rsid w:val="009C55E0"/>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0E2A"/>
    <w:rsid w:val="00AE40CA"/>
    <w:rsid w:val="00AF4679"/>
    <w:rsid w:val="00B15291"/>
    <w:rsid w:val="00B2459A"/>
    <w:rsid w:val="00B24795"/>
    <w:rsid w:val="00B3644C"/>
    <w:rsid w:val="00B50AC3"/>
    <w:rsid w:val="00B60DAF"/>
    <w:rsid w:val="00B62C5C"/>
    <w:rsid w:val="00B65A73"/>
    <w:rsid w:val="00B80B23"/>
    <w:rsid w:val="00B8740E"/>
    <w:rsid w:val="00B92FD2"/>
    <w:rsid w:val="00B945DD"/>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81755"/>
    <w:rsid w:val="00CA218E"/>
    <w:rsid w:val="00CA68DB"/>
    <w:rsid w:val="00CA7AAA"/>
    <w:rsid w:val="00CE464F"/>
    <w:rsid w:val="00CF3E6C"/>
    <w:rsid w:val="00D209FB"/>
    <w:rsid w:val="00D21D13"/>
    <w:rsid w:val="00D41918"/>
    <w:rsid w:val="00D42651"/>
    <w:rsid w:val="00D631A1"/>
    <w:rsid w:val="00D64371"/>
    <w:rsid w:val="00D81EE7"/>
    <w:rsid w:val="00D82DF4"/>
    <w:rsid w:val="00D83208"/>
    <w:rsid w:val="00D845F7"/>
    <w:rsid w:val="00D87BAE"/>
    <w:rsid w:val="00D90715"/>
    <w:rsid w:val="00D94AF5"/>
    <w:rsid w:val="00DC1710"/>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A17DB"/>
    <w:rsid w:val="00ED37BE"/>
    <w:rsid w:val="00ED7E25"/>
    <w:rsid w:val="00EE3219"/>
    <w:rsid w:val="00F3200B"/>
    <w:rsid w:val="00F3590A"/>
    <w:rsid w:val="00F37B86"/>
    <w:rsid w:val="00F426AD"/>
    <w:rsid w:val="00F51A20"/>
    <w:rsid w:val="00F569C4"/>
    <w:rsid w:val="00F74A79"/>
    <w:rsid w:val="00F831BB"/>
    <w:rsid w:val="00F96FF2"/>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pashanina@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00C6-4F3A-43AE-96B4-B93D04FF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16</Pages>
  <Words>8274</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119</cp:revision>
  <cp:lastPrinted>2019-11-26T06:53:00Z</cp:lastPrinted>
  <dcterms:created xsi:type="dcterms:W3CDTF">2019-04-01T06:10:00Z</dcterms:created>
  <dcterms:modified xsi:type="dcterms:W3CDTF">2020-01-23T13:28:00Z</dcterms:modified>
</cp:coreProperties>
</file>